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8A8E3D" w14:textId="77777777" w:rsidR="00D359AC" w:rsidRDefault="00D359AC" w:rsidP="00D359AC">
      <w:pPr>
        <w:spacing w:after="0" w:line="240" w:lineRule="auto"/>
        <w:jc w:val="center"/>
        <w:rPr>
          <w:rFonts w:cs="Times New Roman"/>
          <w:color w:val="000000"/>
          <w:szCs w:val="24"/>
        </w:rPr>
      </w:pPr>
      <w:r>
        <w:rPr>
          <w:rFonts w:cs="Times New Roman"/>
          <w:color w:val="000000"/>
          <w:szCs w:val="24"/>
        </w:rPr>
        <w:t>RELATÓRIO FINAL</w:t>
      </w:r>
    </w:p>
    <w:p w14:paraId="44B3F302" w14:textId="77777777" w:rsidR="00D359AC" w:rsidRDefault="00D359AC" w:rsidP="00D359AC">
      <w:pPr>
        <w:spacing w:after="0" w:line="240" w:lineRule="auto"/>
        <w:jc w:val="center"/>
        <w:rPr>
          <w:rFonts w:cs="Times New Roman"/>
          <w:color w:val="000000"/>
          <w:szCs w:val="24"/>
        </w:rPr>
      </w:pPr>
    </w:p>
    <w:p w14:paraId="20165688" w14:textId="5634DA9F" w:rsidR="00D359AC" w:rsidRDefault="00D359AC" w:rsidP="00D359AC">
      <w:pPr>
        <w:spacing w:after="0" w:line="240" w:lineRule="auto"/>
        <w:jc w:val="center"/>
        <w:rPr>
          <w:rFonts w:cs="Times New Roman"/>
          <w:color w:val="000000"/>
          <w:szCs w:val="24"/>
        </w:rPr>
      </w:pPr>
      <w:r>
        <w:rPr>
          <w:rFonts w:cs="Times New Roman"/>
          <w:color w:val="000000"/>
          <w:szCs w:val="24"/>
        </w:rPr>
        <w:t xml:space="preserve">Bolsa PQ </w:t>
      </w:r>
      <w:r w:rsidRPr="0085005B">
        <w:rPr>
          <w:rFonts w:cs="Times New Roman"/>
          <w:color w:val="000000"/>
          <w:szCs w:val="24"/>
        </w:rPr>
        <w:t>processo 313749/2009-4</w:t>
      </w:r>
    </w:p>
    <w:p w14:paraId="5625F8E3" w14:textId="77777777" w:rsidR="00D359AC" w:rsidRDefault="00D359AC" w:rsidP="00D359AC">
      <w:pPr>
        <w:spacing w:after="0" w:line="240" w:lineRule="auto"/>
        <w:jc w:val="center"/>
        <w:rPr>
          <w:rFonts w:cs="Times New Roman"/>
          <w:color w:val="000000"/>
          <w:szCs w:val="24"/>
        </w:rPr>
      </w:pPr>
      <w:r>
        <w:rPr>
          <w:rFonts w:cs="Times New Roman"/>
          <w:color w:val="000000"/>
          <w:szCs w:val="24"/>
        </w:rPr>
        <w:t>P</w:t>
      </w:r>
      <w:r w:rsidRPr="0085005B">
        <w:rPr>
          <w:rFonts w:cs="Times New Roman"/>
          <w:color w:val="000000"/>
          <w:szCs w:val="24"/>
        </w:rPr>
        <w:t xml:space="preserve">eríodo de 01/03/2010 a 28/02/2013, </w:t>
      </w:r>
    </w:p>
    <w:p w14:paraId="7A46F077" w14:textId="77777777" w:rsidR="00D359AC" w:rsidRDefault="00D359AC" w:rsidP="00D359AC">
      <w:pPr>
        <w:spacing w:after="0" w:line="240" w:lineRule="auto"/>
        <w:jc w:val="center"/>
        <w:rPr>
          <w:rFonts w:cs="Times New Roman"/>
          <w:color w:val="000000"/>
          <w:szCs w:val="24"/>
        </w:rPr>
      </w:pPr>
    </w:p>
    <w:p w14:paraId="7B3CB968" w14:textId="467E671F" w:rsidR="00D359AC" w:rsidRPr="00D359AC" w:rsidRDefault="00D359AC" w:rsidP="00D359AC">
      <w:pPr>
        <w:spacing w:after="0" w:line="240" w:lineRule="auto"/>
        <w:jc w:val="center"/>
        <w:rPr>
          <w:rFonts w:cs="Times New Roman"/>
          <w:color w:val="000000"/>
          <w:szCs w:val="24"/>
        </w:rPr>
      </w:pPr>
      <w:r>
        <w:rPr>
          <w:rFonts w:cs="Times New Roman"/>
          <w:color w:val="000000"/>
          <w:szCs w:val="24"/>
        </w:rPr>
        <w:t>P</w:t>
      </w:r>
      <w:r w:rsidRPr="0085005B">
        <w:rPr>
          <w:rFonts w:cs="Times New Roman"/>
          <w:color w:val="000000"/>
          <w:szCs w:val="24"/>
        </w:rPr>
        <w:t>rojeto</w:t>
      </w:r>
      <w:r>
        <w:rPr>
          <w:rFonts w:cs="Times New Roman"/>
          <w:color w:val="000000"/>
          <w:szCs w:val="24"/>
        </w:rPr>
        <w:t xml:space="preserve">: </w:t>
      </w:r>
      <w:r w:rsidRPr="00D359AC">
        <w:rPr>
          <w:rFonts w:cs="Times New Roman"/>
          <w:color w:val="000000"/>
          <w:szCs w:val="24"/>
        </w:rPr>
        <w:t>RENTABILIDADE PROSPECTIVA DAS CULTURAS DA AGROPECUÁRIA FAMILIAR NA REGIÃO SUL DO BRASIL".</w:t>
      </w:r>
    </w:p>
    <w:p w14:paraId="52AF5FC5" w14:textId="2CF9EC99" w:rsidR="00D359AC" w:rsidRDefault="00D359AC" w:rsidP="00D359AC">
      <w:pPr>
        <w:spacing w:after="0" w:line="240" w:lineRule="auto"/>
        <w:jc w:val="center"/>
        <w:rPr>
          <w:rFonts w:cs="Times New Roman"/>
          <w:color w:val="000000"/>
          <w:szCs w:val="24"/>
        </w:rPr>
      </w:pPr>
    </w:p>
    <w:p w14:paraId="0AF66FDE" w14:textId="77777777" w:rsidR="00D359AC" w:rsidRPr="0085005B" w:rsidRDefault="00D359AC" w:rsidP="00565C5C">
      <w:pPr>
        <w:spacing w:after="0"/>
        <w:ind w:firstLine="708"/>
        <w:rPr>
          <w:rFonts w:cs="Times New Roman"/>
          <w:color w:val="000000"/>
          <w:szCs w:val="24"/>
        </w:rPr>
      </w:pPr>
    </w:p>
    <w:p w14:paraId="79578F0B" w14:textId="49488181" w:rsidR="004C1C85" w:rsidRPr="00976AB4" w:rsidRDefault="004C1C85" w:rsidP="004C1C85">
      <w:pPr>
        <w:pStyle w:val="PargrafodaLista"/>
        <w:numPr>
          <w:ilvl w:val="0"/>
          <w:numId w:val="1"/>
        </w:numPr>
        <w:rPr>
          <w:b/>
          <w:bCs/>
          <w:color w:val="000000"/>
          <w:sz w:val="28"/>
          <w:szCs w:val="28"/>
        </w:rPr>
      </w:pPr>
      <w:r w:rsidRPr="00976AB4">
        <w:rPr>
          <w:b/>
          <w:bCs/>
          <w:color w:val="000000"/>
          <w:sz w:val="28"/>
          <w:szCs w:val="28"/>
        </w:rPr>
        <w:t xml:space="preserve">Introdução </w:t>
      </w:r>
    </w:p>
    <w:p w14:paraId="6151783A" w14:textId="421540D8" w:rsidR="006A0B86" w:rsidRDefault="00D625D9" w:rsidP="00565C5C">
      <w:pPr>
        <w:spacing w:after="0"/>
        <w:ind w:firstLine="708"/>
        <w:rPr>
          <w:rFonts w:cs="Times New Roman"/>
          <w:color w:val="000000"/>
          <w:szCs w:val="24"/>
        </w:rPr>
      </w:pPr>
      <w:r w:rsidRPr="0085005B">
        <w:rPr>
          <w:rFonts w:cs="Times New Roman"/>
          <w:color w:val="000000"/>
          <w:szCs w:val="24"/>
        </w:rPr>
        <w:t>Este Relatório</w:t>
      </w:r>
      <w:r w:rsidR="00201342">
        <w:rPr>
          <w:rFonts w:cs="Times New Roman"/>
          <w:color w:val="000000"/>
          <w:szCs w:val="24"/>
        </w:rPr>
        <w:t xml:space="preserve"> volta-se à apresentação d</w:t>
      </w:r>
      <w:r w:rsidR="00201342">
        <w:rPr>
          <w:rFonts w:cs="Times New Roman"/>
        </w:rPr>
        <w:t>os fundamentos, procedimentos e resultados da Pesquisa</w:t>
      </w:r>
      <w:r w:rsidRPr="0085005B">
        <w:rPr>
          <w:rFonts w:cs="Times New Roman"/>
          <w:color w:val="000000"/>
          <w:szCs w:val="24"/>
        </w:rPr>
        <w:t xml:space="preserve"> </w:t>
      </w:r>
      <w:r w:rsidR="00201342" w:rsidRPr="0085005B">
        <w:rPr>
          <w:rFonts w:cs="Times New Roman"/>
          <w:color w:val="000000"/>
          <w:szCs w:val="24"/>
        </w:rPr>
        <w:t>313749/2009-4</w:t>
      </w:r>
      <w:r w:rsidR="00201342">
        <w:rPr>
          <w:rFonts w:cs="Times New Roman"/>
          <w:color w:val="000000"/>
          <w:szCs w:val="24"/>
        </w:rPr>
        <w:t xml:space="preserve">. Ele </w:t>
      </w:r>
      <w:r w:rsidRPr="0085005B">
        <w:rPr>
          <w:rFonts w:cs="Times New Roman"/>
          <w:color w:val="000000"/>
          <w:szCs w:val="24"/>
        </w:rPr>
        <w:t>está organizado da seguinte forma.</w:t>
      </w:r>
      <w:r w:rsidR="00A362A4" w:rsidRPr="0085005B">
        <w:rPr>
          <w:rFonts w:cs="Times New Roman"/>
          <w:color w:val="000000"/>
          <w:szCs w:val="24"/>
        </w:rPr>
        <w:t xml:space="preserve"> N</w:t>
      </w:r>
      <w:r w:rsidR="00596DE8">
        <w:rPr>
          <w:rFonts w:cs="Times New Roman"/>
          <w:color w:val="000000"/>
          <w:szCs w:val="24"/>
        </w:rPr>
        <w:t xml:space="preserve">esta seção introdutória apresentamos o conteúdo das seções subsequentes, com vistas a orientar o leitor interessado em dimensões específicas do </w:t>
      </w:r>
      <w:r w:rsidR="00201342">
        <w:rPr>
          <w:rFonts w:cs="Times New Roman"/>
          <w:color w:val="000000"/>
          <w:szCs w:val="24"/>
        </w:rPr>
        <w:t xml:space="preserve">Relatório. </w:t>
      </w:r>
      <w:r w:rsidR="002806F6">
        <w:rPr>
          <w:rFonts w:cs="Times New Roman"/>
        </w:rPr>
        <w:t xml:space="preserve">Desde logo cabe anunciar que, para </w:t>
      </w:r>
      <w:r w:rsidR="00201342">
        <w:rPr>
          <w:rFonts w:cs="Times New Roman"/>
        </w:rPr>
        <w:t>cada uma das seções subsequentes</w:t>
      </w:r>
      <w:r w:rsidR="002806F6">
        <w:rPr>
          <w:rFonts w:cs="Times New Roman"/>
        </w:rPr>
        <w:t>,</w:t>
      </w:r>
      <w:r w:rsidR="00201342">
        <w:rPr>
          <w:rFonts w:cs="Times New Roman"/>
        </w:rPr>
        <w:t xml:space="preserve"> existe pelo menos um Anexo Documental. Estes </w:t>
      </w:r>
      <w:r w:rsidR="002806F6">
        <w:rPr>
          <w:rFonts w:cs="Times New Roman"/>
        </w:rPr>
        <w:t>Anexos realizam o</w:t>
      </w:r>
      <w:r w:rsidR="00201342">
        <w:rPr>
          <w:rFonts w:cs="Times New Roman"/>
        </w:rPr>
        <w:t xml:space="preserve"> </w:t>
      </w:r>
      <w:r w:rsidR="00201342" w:rsidRPr="00201342">
        <w:rPr>
          <w:rFonts w:cs="Times New Roman"/>
          <w:b/>
          <w:bCs/>
        </w:rPr>
        <w:t>detalham</w:t>
      </w:r>
      <w:r w:rsidR="002806F6">
        <w:rPr>
          <w:rFonts w:cs="Times New Roman"/>
          <w:b/>
          <w:bCs/>
        </w:rPr>
        <w:t>ento</w:t>
      </w:r>
      <w:r w:rsidR="00201342">
        <w:rPr>
          <w:rFonts w:cs="Times New Roman"/>
        </w:rPr>
        <w:t xml:space="preserve"> </w:t>
      </w:r>
      <w:r w:rsidR="002806F6">
        <w:rPr>
          <w:rFonts w:cs="Times New Roman"/>
        </w:rPr>
        <w:t>do conteúdo que será apresentado de forma sucinta e resumida nas seções abaixo.</w:t>
      </w:r>
    </w:p>
    <w:p w14:paraId="3AC359AE" w14:textId="6710C280" w:rsidR="006A0B86" w:rsidRDefault="00596DE8" w:rsidP="00565C5C">
      <w:pPr>
        <w:spacing w:after="0"/>
        <w:ind w:firstLine="708"/>
        <w:rPr>
          <w:rFonts w:cs="Times New Roman"/>
          <w:color w:val="000000"/>
          <w:szCs w:val="24"/>
        </w:rPr>
      </w:pPr>
      <w:r>
        <w:rPr>
          <w:rFonts w:cs="Times New Roman"/>
          <w:color w:val="000000"/>
          <w:szCs w:val="24"/>
        </w:rPr>
        <w:t>Na</w:t>
      </w:r>
      <w:r w:rsidR="00A362A4" w:rsidRPr="0085005B">
        <w:rPr>
          <w:rFonts w:cs="Times New Roman"/>
          <w:color w:val="000000"/>
          <w:szCs w:val="24"/>
        </w:rPr>
        <w:t xml:space="preserve"> </w:t>
      </w:r>
      <w:r>
        <w:rPr>
          <w:rFonts w:cs="Times New Roman"/>
          <w:color w:val="000000"/>
          <w:szCs w:val="24"/>
        </w:rPr>
        <w:t>segunda</w:t>
      </w:r>
      <w:r w:rsidR="00A362A4" w:rsidRPr="0085005B">
        <w:rPr>
          <w:rFonts w:cs="Times New Roman"/>
          <w:color w:val="000000"/>
          <w:szCs w:val="24"/>
        </w:rPr>
        <w:t xml:space="preserve"> seção, </w:t>
      </w:r>
      <w:r w:rsidR="00D625D9" w:rsidRPr="0085005B">
        <w:rPr>
          <w:rFonts w:cs="Times New Roman"/>
          <w:color w:val="000000"/>
          <w:szCs w:val="24"/>
        </w:rPr>
        <w:t xml:space="preserve">apresentamos </w:t>
      </w:r>
      <w:r>
        <w:rPr>
          <w:rFonts w:cs="Times New Roman"/>
          <w:color w:val="000000"/>
          <w:szCs w:val="24"/>
        </w:rPr>
        <w:t>os fundamentos do projeto. Estes fundamentos são indissociáveis dos resultados de</w:t>
      </w:r>
      <w:r w:rsidR="00D625D9" w:rsidRPr="0085005B">
        <w:rPr>
          <w:rFonts w:cs="Times New Roman"/>
          <w:color w:val="000000"/>
          <w:szCs w:val="24"/>
        </w:rPr>
        <w:t xml:space="preserve"> pesquisas</w:t>
      </w:r>
      <w:r>
        <w:rPr>
          <w:rFonts w:cs="Times New Roman"/>
          <w:color w:val="000000"/>
          <w:szCs w:val="24"/>
        </w:rPr>
        <w:t xml:space="preserve"> anteriores (uma das quais, foi financiada pelo CNPq)</w:t>
      </w:r>
      <w:r w:rsidR="006A0B86">
        <w:rPr>
          <w:rFonts w:cs="Times New Roman"/>
          <w:color w:val="000000"/>
          <w:szCs w:val="24"/>
        </w:rPr>
        <w:t xml:space="preserve"> sobre os determinantes dos diferenciais de desempenho socioeconômico em municípios da região sul do Brasil, em especial daqueles cuja base produtiva é a agricultura e o agronegócio</w:t>
      </w:r>
      <w:r>
        <w:rPr>
          <w:rFonts w:cs="Times New Roman"/>
          <w:color w:val="000000"/>
          <w:szCs w:val="24"/>
        </w:rPr>
        <w:t>. Estes resultados</w:t>
      </w:r>
      <w:r w:rsidR="00D625D9" w:rsidRPr="0085005B">
        <w:rPr>
          <w:rFonts w:cs="Times New Roman"/>
          <w:color w:val="000000"/>
          <w:szCs w:val="24"/>
        </w:rPr>
        <w:t xml:space="preserve"> alimentaram </w:t>
      </w:r>
      <w:r w:rsidR="00A362A4" w:rsidRPr="0085005B">
        <w:rPr>
          <w:rFonts w:cs="Times New Roman"/>
          <w:color w:val="000000"/>
          <w:szCs w:val="24"/>
        </w:rPr>
        <w:t xml:space="preserve">a problemática e as hipóteses norteadoras do </w:t>
      </w:r>
      <w:r w:rsidR="00D625D9" w:rsidRPr="0085005B">
        <w:rPr>
          <w:rFonts w:cs="Times New Roman"/>
          <w:color w:val="000000"/>
          <w:szCs w:val="24"/>
        </w:rPr>
        <w:t>projeto contemplado com a Bolsa Produtividade</w:t>
      </w:r>
      <w:r w:rsidR="00A647D9" w:rsidRPr="0085005B">
        <w:rPr>
          <w:rFonts w:cs="Times New Roman"/>
          <w:color w:val="000000"/>
          <w:szCs w:val="24"/>
        </w:rPr>
        <w:t xml:space="preserve"> em 2010</w:t>
      </w:r>
      <w:r w:rsidR="002806F6" w:rsidRPr="0085005B">
        <w:rPr>
          <w:rStyle w:val="Refdenotaderodap"/>
          <w:rFonts w:cs="Times New Roman"/>
          <w:color w:val="000000"/>
          <w:szCs w:val="24"/>
        </w:rPr>
        <w:footnoteReference w:id="1"/>
      </w:r>
      <w:r w:rsidR="00D625D9" w:rsidRPr="0085005B">
        <w:rPr>
          <w:rFonts w:cs="Times New Roman"/>
          <w:color w:val="000000"/>
          <w:szCs w:val="24"/>
        </w:rPr>
        <w:t xml:space="preserve">. </w:t>
      </w:r>
    </w:p>
    <w:p w14:paraId="1512B86E" w14:textId="70D2E257" w:rsidR="00C71EE9" w:rsidRDefault="00A362A4" w:rsidP="00565C5C">
      <w:pPr>
        <w:spacing w:after="0"/>
        <w:ind w:firstLine="708"/>
        <w:rPr>
          <w:rFonts w:cs="Times New Roman"/>
          <w:color w:val="000000"/>
          <w:szCs w:val="24"/>
        </w:rPr>
      </w:pPr>
      <w:r w:rsidRPr="0085005B">
        <w:rPr>
          <w:rFonts w:cs="Times New Roman"/>
          <w:color w:val="000000"/>
          <w:szCs w:val="24"/>
        </w:rPr>
        <w:t xml:space="preserve">Na </w:t>
      </w:r>
      <w:r w:rsidR="00596DE8">
        <w:rPr>
          <w:rFonts w:cs="Times New Roman"/>
          <w:color w:val="000000"/>
          <w:szCs w:val="24"/>
        </w:rPr>
        <w:t>terceira</w:t>
      </w:r>
      <w:r w:rsidRPr="0085005B">
        <w:rPr>
          <w:rFonts w:cs="Times New Roman"/>
          <w:color w:val="000000"/>
          <w:szCs w:val="24"/>
        </w:rPr>
        <w:t xml:space="preserve"> seção, apresentamos os </w:t>
      </w:r>
      <w:r w:rsidR="00A647D9" w:rsidRPr="0085005B">
        <w:rPr>
          <w:rFonts w:cs="Times New Roman"/>
          <w:color w:val="000000"/>
          <w:szCs w:val="24"/>
        </w:rPr>
        <w:t xml:space="preserve">primeiros </w:t>
      </w:r>
      <w:r w:rsidRPr="0085005B">
        <w:rPr>
          <w:rFonts w:cs="Times New Roman"/>
          <w:color w:val="000000"/>
          <w:szCs w:val="24"/>
        </w:rPr>
        <w:t xml:space="preserve">resultados </w:t>
      </w:r>
      <w:r w:rsidR="00A647D9" w:rsidRPr="0085005B">
        <w:rPr>
          <w:rFonts w:cs="Times New Roman"/>
          <w:color w:val="000000"/>
          <w:szCs w:val="24"/>
        </w:rPr>
        <w:t>da pesquisa, obtidos j</w:t>
      </w:r>
      <w:r w:rsidR="00DF0439">
        <w:rPr>
          <w:rFonts w:cs="Times New Roman"/>
          <w:color w:val="000000"/>
          <w:szCs w:val="24"/>
        </w:rPr>
        <w:t xml:space="preserve">á no </w:t>
      </w:r>
      <w:r w:rsidR="00C71EE9">
        <w:rPr>
          <w:rFonts w:cs="Times New Roman"/>
          <w:color w:val="000000"/>
          <w:szCs w:val="24"/>
        </w:rPr>
        <w:t xml:space="preserve">ano </w:t>
      </w:r>
      <w:r w:rsidR="00596DE8">
        <w:rPr>
          <w:rFonts w:cs="Times New Roman"/>
          <w:color w:val="000000"/>
          <w:szCs w:val="24"/>
        </w:rPr>
        <w:t>de</w:t>
      </w:r>
      <w:r w:rsidR="00EF656D" w:rsidRPr="0085005B">
        <w:rPr>
          <w:rFonts w:cs="Times New Roman"/>
          <w:color w:val="000000"/>
          <w:szCs w:val="24"/>
        </w:rPr>
        <w:t xml:space="preserve"> 2010</w:t>
      </w:r>
      <w:r w:rsidR="00A647D9" w:rsidRPr="0085005B">
        <w:rPr>
          <w:rStyle w:val="Refdenotaderodap"/>
          <w:rFonts w:cs="Times New Roman"/>
          <w:color w:val="000000"/>
          <w:szCs w:val="24"/>
        </w:rPr>
        <w:footnoteReference w:id="2"/>
      </w:r>
      <w:r w:rsidR="008E7DC9" w:rsidRPr="0085005B">
        <w:rPr>
          <w:rFonts w:cs="Times New Roman"/>
          <w:color w:val="000000"/>
          <w:szCs w:val="24"/>
        </w:rPr>
        <w:t>.</w:t>
      </w:r>
      <w:r w:rsidR="006A0B86">
        <w:rPr>
          <w:rFonts w:cs="Times New Roman"/>
          <w:color w:val="000000"/>
          <w:szCs w:val="24"/>
        </w:rPr>
        <w:t xml:space="preserve"> </w:t>
      </w:r>
      <w:r w:rsidR="00C71EE9">
        <w:rPr>
          <w:rFonts w:cs="Times New Roman"/>
          <w:color w:val="000000"/>
          <w:szCs w:val="24"/>
        </w:rPr>
        <w:t xml:space="preserve">Estes resultados foram muito impactantes. Em especial por revelarem um </w:t>
      </w:r>
      <w:r w:rsidR="00C71EE9">
        <w:rPr>
          <w:rFonts w:cs="Times New Roman"/>
          <w:color w:val="000000"/>
          <w:szCs w:val="24"/>
        </w:rPr>
        <w:lastRenderedPageBreak/>
        <w:t xml:space="preserve">amplo conjunto de problemas nos dados do Censo Agropecuário de 2006 que deprimiam sobremaneira a confiabilidade nos mesmos para um número bastante expressivo de municípios e regiões. </w:t>
      </w:r>
      <w:r w:rsidR="002806F6">
        <w:rPr>
          <w:rFonts w:cs="Times New Roman"/>
          <w:color w:val="000000"/>
          <w:szCs w:val="24"/>
        </w:rPr>
        <w:t xml:space="preserve">Além disso, </w:t>
      </w:r>
      <w:r w:rsidR="00C71EE9">
        <w:rPr>
          <w:rFonts w:cs="Times New Roman"/>
          <w:color w:val="000000"/>
          <w:szCs w:val="24"/>
        </w:rPr>
        <w:t>o andamento da pesquisa também revelara outro problema, de ordem empírico-teórica</w:t>
      </w:r>
      <w:r w:rsidR="002806F6">
        <w:rPr>
          <w:rFonts w:cs="Times New Roman"/>
          <w:color w:val="000000"/>
          <w:szCs w:val="24"/>
        </w:rPr>
        <w:t xml:space="preserve"> e que colocava em xeque </w:t>
      </w:r>
      <w:r w:rsidR="00C71EE9">
        <w:rPr>
          <w:rFonts w:cs="Times New Roman"/>
          <w:color w:val="000000"/>
          <w:szCs w:val="24"/>
        </w:rPr>
        <w:t>a sustentabilidade de sua hipótese fundante. Toda a pesquisa estava estruturada sobre a hipótese de que a agricultura familiar era caracterizada por uma disponibilidade superior de mão-de-obra</w:t>
      </w:r>
      <w:r w:rsidR="002806F6">
        <w:rPr>
          <w:rFonts w:cs="Times New Roman"/>
          <w:color w:val="000000"/>
          <w:szCs w:val="24"/>
        </w:rPr>
        <w:t xml:space="preserve"> </w:t>
      </w:r>
      <w:r w:rsidR="002806F6" w:rsidRPr="002806F6">
        <w:rPr>
          <w:rFonts w:cs="Times New Roman"/>
          <w:i/>
          <w:iCs/>
          <w:color w:val="000000"/>
          <w:szCs w:val="24"/>
        </w:rPr>
        <w:t>vis-à-vis</w:t>
      </w:r>
      <w:r w:rsidR="002806F6">
        <w:rPr>
          <w:rFonts w:cs="Times New Roman"/>
          <w:color w:val="000000"/>
          <w:szCs w:val="24"/>
        </w:rPr>
        <w:t xml:space="preserve"> a agricultura patronal</w:t>
      </w:r>
      <w:r w:rsidR="00C71EE9">
        <w:rPr>
          <w:rFonts w:cs="Times New Roman"/>
          <w:color w:val="000000"/>
          <w:szCs w:val="24"/>
        </w:rPr>
        <w:t xml:space="preserve">. Na verdade, </w:t>
      </w:r>
      <w:r w:rsidR="002806F6">
        <w:rPr>
          <w:rFonts w:cs="Times New Roman"/>
          <w:color w:val="000000"/>
          <w:szCs w:val="24"/>
        </w:rPr>
        <w:t>acreditávamos que a disponibilidade de mão-de-obra fosse cronicamente sup</w:t>
      </w:r>
      <w:r w:rsidR="00C71EE9">
        <w:rPr>
          <w:rFonts w:cs="Times New Roman"/>
          <w:color w:val="000000"/>
          <w:szCs w:val="24"/>
        </w:rPr>
        <w:t xml:space="preserve">erior à sua capacidade normal de incorporação, dada a exiguidade da área e a abundância de filhos (potencialmente) herdeiros. Esta hipótese começou a ser questionada na medida em que tivemos acesso a uma bibliografia </w:t>
      </w:r>
      <w:r w:rsidR="002806F6">
        <w:rPr>
          <w:rFonts w:cs="Times New Roman"/>
          <w:color w:val="000000"/>
          <w:szCs w:val="24"/>
        </w:rPr>
        <w:t>(</w:t>
      </w:r>
      <w:r w:rsidR="00C71EE9">
        <w:rPr>
          <w:rFonts w:cs="Times New Roman"/>
          <w:color w:val="000000"/>
          <w:szCs w:val="24"/>
        </w:rPr>
        <w:t>até então desconhec</w:t>
      </w:r>
      <w:r w:rsidR="002806F6">
        <w:rPr>
          <w:rFonts w:cs="Times New Roman"/>
          <w:color w:val="000000"/>
          <w:szCs w:val="24"/>
        </w:rPr>
        <w:t>i</w:t>
      </w:r>
      <w:r w:rsidR="00C71EE9">
        <w:rPr>
          <w:rFonts w:cs="Times New Roman"/>
          <w:color w:val="000000"/>
          <w:szCs w:val="24"/>
        </w:rPr>
        <w:t>da</w:t>
      </w:r>
      <w:r w:rsidR="002806F6">
        <w:rPr>
          <w:rFonts w:cs="Times New Roman"/>
          <w:color w:val="000000"/>
          <w:szCs w:val="24"/>
        </w:rPr>
        <w:t xml:space="preserve"> </w:t>
      </w:r>
      <w:r w:rsidR="00C71EE9">
        <w:rPr>
          <w:rFonts w:cs="Times New Roman"/>
          <w:color w:val="000000"/>
          <w:szCs w:val="24"/>
        </w:rPr>
        <w:t>por nós</w:t>
      </w:r>
      <w:r w:rsidR="002806F6">
        <w:rPr>
          <w:rFonts w:cs="Times New Roman"/>
          <w:color w:val="000000"/>
          <w:szCs w:val="24"/>
        </w:rPr>
        <w:t>)</w:t>
      </w:r>
      <w:r w:rsidR="00C71EE9">
        <w:rPr>
          <w:rFonts w:cs="Times New Roman"/>
          <w:color w:val="000000"/>
          <w:szCs w:val="24"/>
        </w:rPr>
        <w:t xml:space="preserve"> sobre os problemas de sucessão na Agricultura Familiar. O enfrentamento dos dois problemas – empírico e teórico – é a contribuição da pesquisa de seu ano inicial</w:t>
      </w:r>
      <w:r w:rsidR="00C71EE9">
        <w:rPr>
          <w:rStyle w:val="Refdenotaderodap"/>
          <w:rFonts w:cs="Times New Roman"/>
          <w:color w:val="000000"/>
          <w:szCs w:val="24"/>
        </w:rPr>
        <w:footnoteReference w:id="3"/>
      </w:r>
      <w:r w:rsidR="00C71EE9">
        <w:rPr>
          <w:rFonts w:cs="Times New Roman"/>
          <w:color w:val="000000"/>
          <w:szCs w:val="24"/>
        </w:rPr>
        <w:t xml:space="preserve">. </w:t>
      </w:r>
    </w:p>
    <w:p w14:paraId="2A94ED3A" w14:textId="77777777" w:rsidR="003970DC" w:rsidRDefault="00A362A4" w:rsidP="003970DC">
      <w:pPr>
        <w:spacing w:after="0"/>
        <w:ind w:firstLine="708"/>
        <w:rPr>
          <w:rFonts w:cs="Times New Roman"/>
          <w:color w:val="000000"/>
          <w:szCs w:val="24"/>
        </w:rPr>
      </w:pPr>
      <w:r w:rsidRPr="0085005B">
        <w:rPr>
          <w:rFonts w:cs="Times New Roman"/>
          <w:color w:val="000000"/>
          <w:szCs w:val="24"/>
        </w:rPr>
        <w:t xml:space="preserve">Na </w:t>
      </w:r>
      <w:r w:rsidR="00DF0439">
        <w:rPr>
          <w:rFonts w:cs="Times New Roman"/>
          <w:color w:val="000000"/>
          <w:szCs w:val="24"/>
        </w:rPr>
        <w:t>quarta</w:t>
      </w:r>
      <w:r w:rsidRPr="0085005B">
        <w:rPr>
          <w:rFonts w:cs="Times New Roman"/>
          <w:color w:val="000000"/>
          <w:szCs w:val="24"/>
        </w:rPr>
        <w:t xml:space="preserve"> seção apresentamos </w:t>
      </w:r>
      <w:r w:rsidR="00EF656D" w:rsidRPr="0085005B">
        <w:rPr>
          <w:rFonts w:cs="Times New Roman"/>
          <w:color w:val="000000"/>
          <w:szCs w:val="24"/>
        </w:rPr>
        <w:t xml:space="preserve">os resultados </w:t>
      </w:r>
      <w:r w:rsidR="00940480" w:rsidRPr="0085005B">
        <w:rPr>
          <w:rFonts w:cs="Times New Roman"/>
          <w:color w:val="000000"/>
          <w:szCs w:val="24"/>
        </w:rPr>
        <w:t xml:space="preserve">que obtivemos </w:t>
      </w:r>
      <w:r w:rsidR="00DF0439">
        <w:rPr>
          <w:rFonts w:cs="Times New Roman"/>
          <w:color w:val="000000"/>
          <w:szCs w:val="24"/>
        </w:rPr>
        <w:t>durante o ano de 2012</w:t>
      </w:r>
      <w:r w:rsidR="003970DC">
        <w:rPr>
          <w:rFonts w:cs="Times New Roman"/>
          <w:color w:val="000000"/>
          <w:szCs w:val="24"/>
        </w:rPr>
        <w:t xml:space="preserve"> até meados de 2013. Vale observar que, neste período, </w:t>
      </w:r>
      <w:r w:rsidR="00DF0439">
        <w:rPr>
          <w:rFonts w:cs="Times New Roman"/>
          <w:color w:val="000000"/>
          <w:szCs w:val="24"/>
        </w:rPr>
        <w:t>já não contávamos com qualquer apoio para a realização da pesquisa, seja do IPEA (que financi</w:t>
      </w:r>
      <w:r w:rsidR="003970DC">
        <w:rPr>
          <w:rFonts w:cs="Times New Roman"/>
          <w:color w:val="000000"/>
          <w:szCs w:val="24"/>
        </w:rPr>
        <w:t>ou</w:t>
      </w:r>
      <w:r w:rsidR="00DF0439">
        <w:rPr>
          <w:rFonts w:cs="Times New Roman"/>
          <w:color w:val="000000"/>
          <w:szCs w:val="24"/>
        </w:rPr>
        <w:t xml:space="preserve"> a contratação da equipe de apoio</w:t>
      </w:r>
      <w:r w:rsidR="003970DC">
        <w:rPr>
          <w:rFonts w:cs="Times New Roman"/>
          <w:color w:val="000000"/>
          <w:szCs w:val="24"/>
        </w:rPr>
        <w:t xml:space="preserve"> entre o final de 2009 e o início de 2011</w:t>
      </w:r>
      <w:r w:rsidR="00DF0439">
        <w:rPr>
          <w:rFonts w:cs="Times New Roman"/>
          <w:color w:val="000000"/>
          <w:szCs w:val="24"/>
        </w:rPr>
        <w:t>), seja do CNPq</w:t>
      </w:r>
      <w:r w:rsidR="003970DC">
        <w:rPr>
          <w:rFonts w:cs="Times New Roman"/>
          <w:color w:val="000000"/>
          <w:szCs w:val="24"/>
        </w:rPr>
        <w:t xml:space="preserve"> (</w:t>
      </w:r>
      <w:r w:rsidR="009036D7">
        <w:rPr>
          <w:rFonts w:cs="Times New Roman"/>
          <w:color w:val="000000"/>
          <w:szCs w:val="24"/>
        </w:rPr>
        <w:t>que deixou de pagar a Bolsa Produtividade em dezembro de 2011</w:t>
      </w:r>
      <w:r w:rsidR="003970DC">
        <w:rPr>
          <w:rFonts w:cs="Times New Roman"/>
          <w:color w:val="000000"/>
          <w:szCs w:val="24"/>
        </w:rPr>
        <w:t xml:space="preserve"> e exigiu o ressarcimento das parcelas pagas desde março do ano anterior)</w:t>
      </w:r>
      <w:r w:rsidR="00B96B9B">
        <w:rPr>
          <w:rStyle w:val="Refdenotaderodap"/>
          <w:rFonts w:cs="Times New Roman"/>
          <w:color w:val="000000"/>
          <w:szCs w:val="24"/>
        </w:rPr>
        <w:footnoteReference w:id="4"/>
      </w:r>
      <w:r w:rsidR="009036D7">
        <w:rPr>
          <w:rFonts w:cs="Times New Roman"/>
          <w:color w:val="000000"/>
          <w:szCs w:val="24"/>
        </w:rPr>
        <w:t xml:space="preserve">. </w:t>
      </w:r>
    </w:p>
    <w:p w14:paraId="68DB5039" w14:textId="77777777" w:rsidR="003970DC" w:rsidRDefault="00A362A4" w:rsidP="003970DC">
      <w:pPr>
        <w:spacing w:after="0"/>
        <w:ind w:firstLine="708"/>
        <w:rPr>
          <w:rFonts w:cs="Times New Roman"/>
          <w:color w:val="000000"/>
          <w:szCs w:val="24"/>
        </w:rPr>
      </w:pPr>
      <w:r w:rsidRPr="0085005B">
        <w:rPr>
          <w:rFonts w:cs="Times New Roman"/>
          <w:color w:val="000000"/>
          <w:szCs w:val="24"/>
        </w:rPr>
        <w:t>Na qu</w:t>
      </w:r>
      <w:r w:rsidR="003970DC">
        <w:rPr>
          <w:rFonts w:cs="Times New Roman"/>
          <w:color w:val="000000"/>
          <w:szCs w:val="24"/>
        </w:rPr>
        <w:t xml:space="preserve">inta </w:t>
      </w:r>
      <w:r w:rsidRPr="0085005B">
        <w:rPr>
          <w:rFonts w:cs="Times New Roman"/>
          <w:color w:val="000000"/>
          <w:szCs w:val="24"/>
        </w:rPr>
        <w:t xml:space="preserve">seção, apresentamos </w:t>
      </w:r>
      <w:r w:rsidR="003970DC">
        <w:rPr>
          <w:rFonts w:cs="Times New Roman"/>
          <w:color w:val="000000"/>
          <w:szCs w:val="24"/>
        </w:rPr>
        <w:t xml:space="preserve">as principais conclusões da pesquisa. </w:t>
      </w:r>
      <w:r w:rsidRPr="0085005B">
        <w:rPr>
          <w:rFonts w:cs="Times New Roman"/>
          <w:color w:val="000000"/>
          <w:szCs w:val="24"/>
        </w:rPr>
        <w:t>Nesta mesma seção, apresentaremos nossa tentativa de resgatar a bols</w:t>
      </w:r>
      <w:r w:rsidR="000B2FBB" w:rsidRPr="0085005B">
        <w:rPr>
          <w:rFonts w:cs="Times New Roman"/>
          <w:color w:val="000000"/>
          <w:szCs w:val="24"/>
        </w:rPr>
        <w:t xml:space="preserve">a, nosso insucesso </w:t>
      </w:r>
      <w:r w:rsidRPr="0085005B">
        <w:rPr>
          <w:rFonts w:cs="Times New Roman"/>
          <w:color w:val="000000"/>
          <w:szCs w:val="24"/>
        </w:rPr>
        <w:t xml:space="preserve">e </w:t>
      </w:r>
      <w:r w:rsidR="004C1C85" w:rsidRPr="0085005B">
        <w:rPr>
          <w:rFonts w:cs="Times New Roman"/>
          <w:color w:val="000000"/>
          <w:szCs w:val="24"/>
        </w:rPr>
        <w:t xml:space="preserve">as razões pelas quais o relatório final não foi enviado no período previsto/demandado pelo CNPq. </w:t>
      </w:r>
    </w:p>
    <w:p w14:paraId="31511488" w14:textId="08B468A2" w:rsidR="00D625D9" w:rsidRPr="0085005B" w:rsidRDefault="004C1C85" w:rsidP="003970DC">
      <w:pPr>
        <w:spacing w:after="0"/>
        <w:ind w:firstLine="708"/>
        <w:rPr>
          <w:rFonts w:cs="Times New Roman"/>
          <w:color w:val="000000"/>
          <w:szCs w:val="24"/>
        </w:rPr>
      </w:pPr>
      <w:r w:rsidRPr="0085005B">
        <w:rPr>
          <w:rFonts w:cs="Times New Roman"/>
          <w:color w:val="000000"/>
          <w:szCs w:val="24"/>
        </w:rPr>
        <w:lastRenderedPageBreak/>
        <w:t>A sexta seção corresponde à Bibliografia</w:t>
      </w:r>
      <w:r w:rsidR="004B17B1">
        <w:rPr>
          <w:rFonts w:cs="Times New Roman"/>
          <w:color w:val="000000"/>
          <w:szCs w:val="24"/>
        </w:rPr>
        <w:t xml:space="preserve">; à qual </w:t>
      </w:r>
      <w:r w:rsidRPr="0085005B">
        <w:rPr>
          <w:rFonts w:cs="Times New Roman"/>
          <w:color w:val="000000"/>
          <w:szCs w:val="24"/>
        </w:rPr>
        <w:t xml:space="preserve">seguem-se </w:t>
      </w:r>
      <w:r w:rsidR="005970C3" w:rsidRPr="0085005B">
        <w:rPr>
          <w:rFonts w:cs="Times New Roman"/>
          <w:color w:val="000000"/>
          <w:szCs w:val="24"/>
        </w:rPr>
        <w:t>vários</w:t>
      </w:r>
      <w:r w:rsidRPr="0085005B">
        <w:rPr>
          <w:rFonts w:cs="Times New Roman"/>
          <w:color w:val="000000"/>
          <w:szCs w:val="24"/>
        </w:rPr>
        <w:t xml:space="preserve"> Anexos. O primeiro </w:t>
      </w:r>
      <w:r w:rsidR="005970C3" w:rsidRPr="0085005B">
        <w:rPr>
          <w:rFonts w:cs="Times New Roman"/>
          <w:color w:val="000000"/>
          <w:szCs w:val="24"/>
        </w:rPr>
        <w:t>detalha a primeira seção deste relatório, sistematizando a trajetória d</w:t>
      </w:r>
      <w:r w:rsidR="003970DC">
        <w:rPr>
          <w:rFonts w:cs="Times New Roman"/>
          <w:color w:val="000000"/>
          <w:szCs w:val="24"/>
        </w:rPr>
        <w:t>as</w:t>
      </w:r>
      <w:r w:rsidR="005970C3" w:rsidRPr="0085005B">
        <w:rPr>
          <w:rFonts w:cs="Times New Roman"/>
          <w:color w:val="000000"/>
          <w:szCs w:val="24"/>
        </w:rPr>
        <w:t xml:space="preserve"> pesquisa</w:t>
      </w:r>
      <w:r w:rsidR="003970DC">
        <w:rPr>
          <w:rFonts w:cs="Times New Roman"/>
          <w:color w:val="000000"/>
          <w:szCs w:val="24"/>
        </w:rPr>
        <w:t>s</w:t>
      </w:r>
      <w:r w:rsidR="005970C3" w:rsidRPr="0085005B">
        <w:rPr>
          <w:rFonts w:cs="Times New Roman"/>
          <w:color w:val="000000"/>
          <w:szCs w:val="24"/>
        </w:rPr>
        <w:t xml:space="preserve"> que lev</w:t>
      </w:r>
      <w:r w:rsidR="003970DC">
        <w:rPr>
          <w:rFonts w:cs="Times New Roman"/>
          <w:color w:val="000000"/>
          <w:szCs w:val="24"/>
        </w:rPr>
        <w:t xml:space="preserve">aram </w:t>
      </w:r>
      <w:r w:rsidR="005970C3" w:rsidRPr="0085005B">
        <w:rPr>
          <w:rFonts w:cs="Times New Roman"/>
          <w:color w:val="000000"/>
          <w:szCs w:val="24"/>
        </w:rPr>
        <w:t>à construção do projeto financiado pelo CNPq. O segundo anexo é a versão</w:t>
      </w:r>
      <w:r w:rsidR="004B17B1">
        <w:rPr>
          <w:rFonts w:cs="Times New Roman"/>
          <w:color w:val="000000"/>
          <w:szCs w:val="24"/>
        </w:rPr>
        <w:t xml:space="preserve"> </w:t>
      </w:r>
      <w:r w:rsidR="004B17B1" w:rsidRPr="00EC0597">
        <w:rPr>
          <w:rFonts w:cs="Times New Roman"/>
          <w:b/>
          <w:bCs/>
          <w:color w:val="000000"/>
          <w:szCs w:val="24"/>
        </w:rPr>
        <w:t>atualizada</w:t>
      </w:r>
      <w:r w:rsidR="005970C3" w:rsidRPr="0085005B">
        <w:rPr>
          <w:rFonts w:cs="Times New Roman"/>
          <w:color w:val="000000"/>
          <w:szCs w:val="24"/>
        </w:rPr>
        <w:t xml:space="preserve"> </w:t>
      </w:r>
      <w:r w:rsidR="004B17B1">
        <w:rPr>
          <w:rFonts w:cs="Times New Roman"/>
          <w:color w:val="000000"/>
          <w:szCs w:val="24"/>
        </w:rPr>
        <w:t xml:space="preserve">do relatório enviado para o IPEA no início de 2011, em consonância com as exigências do Sistema de Pesquisa Pró-Redes. </w:t>
      </w:r>
      <w:r w:rsidR="000B2FBB" w:rsidRPr="0085005B">
        <w:rPr>
          <w:rFonts w:cs="Times New Roman"/>
          <w:color w:val="000000"/>
          <w:szCs w:val="24"/>
        </w:rPr>
        <w:t xml:space="preserve">O terceiro </w:t>
      </w:r>
      <w:r w:rsidR="004B17B1">
        <w:rPr>
          <w:rFonts w:cs="Times New Roman"/>
          <w:color w:val="000000"/>
          <w:szCs w:val="24"/>
        </w:rPr>
        <w:t xml:space="preserve">Anexo é um conjunto de </w:t>
      </w:r>
      <w:r w:rsidR="000B2FBB" w:rsidRPr="0085005B">
        <w:rPr>
          <w:rFonts w:cs="Times New Roman"/>
          <w:color w:val="000000"/>
          <w:szCs w:val="24"/>
        </w:rPr>
        <w:t>lâminas com a síntese d</w:t>
      </w:r>
      <w:r w:rsidR="004B17B1">
        <w:rPr>
          <w:rFonts w:cs="Times New Roman"/>
          <w:color w:val="000000"/>
          <w:szCs w:val="24"/>
        </w:rPr>
        <w:t>a</w:t>
      </w:r>
      <w:r w:rsidR="000B2FBB" w:rsidRPr="0085005B">
        <w:rPr>
          <w:rFonts w:cs="Times New Roman"/>
          <w:color w:val="000000"/>
          <w:szCs w:val="24"/>
        </w:rPr>
        <w:t xml:space="preserve"> exposiç</w:t>
      </w:r>
      <w:r w:rsidR="004B17B1">
        <w:rPr>
          <w:rFonts w:cs="Times New Roman"/>
          <w:color w:val="000000"/>
          <w:szCs w:val="24"/>
        </w:rPr>
        <w:t>ão</w:t>
      </w:r>
      <w:r w:rsidR="000B2FBB" w:rsidRPr="0085005B">
        <w:rPr>
          <w:rFonts w:cs="Times New Roman"/>
          <w:color w:val="000000"/>
          <w:szCs w:val="24"/>
        </w:rPr>
        <w:t xml:space="preserve"> que fizemos, no Ipea </w:t>
      </w:r>
      <w:r w:rsidR="004B17B1">
        <w:rPr>
          <w:rFonts w:cs="Times New Roman"/>
          <w:color w:val="000000"/>
          <w:szCs w:val="24"/>
        </w:rPr>
        <w:t>em final de 2011. O quarto Anexo é um documento Excel com diversas planilha</w:t>
      </w:r>
      <w:r w:rsidR="00596DE8">
        <w:rPr>
          <w:rFonts w:cs="Times New Roman"/>
          <w:color w:val="000000"/>
          <w:szCs w:val="24"/>
        </w:rPr>
        <w:t xml:space="preserve">s produzidas </w:t>
      </w:r>
      <w:r w:rsidR="00DA07DA">
        <w:rPr>
          <w:rFonts w:cs="Times New Roman"/>
          <w:color w:val="000000"/>
          <w:szCs w:val="24"/>
        </w:rPr>
        <w:t>ao longo do ano de 2012, quando já não contávamos mais com qualquer fonte de financiamento para a realizaç</w:t>
      </w:r>
      <w:r w:rsidR="00596DE8">
        <w:rPr>
          <w:rFonts w:cs="Times New Roman"/>
          <w:color w:val="000000"/>
          <w:szCs w:val="24"/>
        </w:rPr>
        <w:t>ão da pesquisa</w:t>
      </w:r>
      <w:r w:rsidR="00DA07DA">
        <w:rPr>
          <w:rFonts w:cs="Times New Roman"/>
          <w:color w:val="000000"/>
          <w:szCs w:val="24"/>
        </w:rPr>
        <w:t xml:space="preserve">. </w:t>
      </w:r>
      <w:r w:rsidR="00596DE8">
        <w:rPr>
          <w:rFonts w:cs="Times New Roman"/>
          <w:color w:val="000000"/>
          <w:szCs w:val="24"/>
        </w:rPr>
        <w:t>Neste documento, consta o banco de dados que produzimos após o término da pesquisa Pró-Redes e vários testes de correlação e regressão</w:t>
      </w:r>
      <w:r w:rsidR="0034140C">
        <w:rPr>
          <w:rFonts w:cs="Times New Roman"/>
          <w:color w:val="000000"/>
          <w:szCs w:val="24"/>
        </w:rPr>
        <w:t>.</w:t>
      </w:r>
      <w:r w:rsidR="00596DE8">
        <w:rPr>
          <w:rFonts w:cs="Times New Roman"/>
          <w:color w:val="000000"/>
          <w:szCs w:val="24"/>
        </w:rPr>
        <w:t xml:space="preserve"> </w:t>
      </w:r>
      <w:r w:rsidR="00DA07DA">
        <w:rPr>
          <w:rFonts w:cs="Times New Roman"/>
          <w:color w:val="000000"/>
          <w:szCs w:val="24"/>
        </w:rPr>
        <w:t>O quinto anexo é uma apresentação realizada na Fundação de Economia e Estatística em meados de 2013 sobre as conclusões finais da pesquisa</w:t>
      </w:r>
      <w:r w:rsidR="00596DE8">
        <w:rPr>
          <w:rFonts w:cs="Times New Roman"/>
          <w:color w:val="000000"/>
          <w:szCs w:val="24"/>
        </w:rPr>
        <w:t>. Nesta oportunidade, focamos especialmente no RS, o que nos permitiu retomar o sistema de zoneamento e municipalização que abria mão da utilização de um instrumento tão problemático e criador de vieses estatísticos quanto as Áreas Mínimas Comparáveis (</w:t>
      </w:r>
      <w:proofErr w:type="spellStart"/>
      <w:r w:rsidR="00596DE8">
        <w:rPr>
          <w:rFonts w:cs="Times New Roman"/>
          <w:color w:val="000000"/>
          <w:szCs w:val="24"/>
        </w:rPr>
        <w:t>AMCs</w:t>
      </w:r>
      <w:proofErr w:type="spellEnd"/>
      <w:r w:rsidR="00596DE8">
        <w:rPr>
          <w:rFonts w:cs="Times New Roman"/>
          <w:color w:val="000000"/>
          <w:szCs w:val="24"/>
        </w:rPr>
        <w:t xml:space="preserve">). </w:t>
      </w:r>
      <w:r w:rsidR="00EE6D77">
        <w:rPr>
          <w:rFonts w:cs="Times New Roman"/>
          <w:color w:val="000000"/>
          <w:szCs w:val="24"/>
        </w:rPr>
        <w:t xml:space="preserve">Os dois últimos Anexos (6 e 7) reproduzem correspondências com o CNPq a respeito da </w:t>
      </w:r>
      <w:r w:rsidR="008816CA">
        <w:rPr>
          <w:rFonts w:cs="Times New Roman"/>
          <w:color w:val="000000"/>
          <w:szCs w:val="24"/>
        </w:rPr>
        <w:t>(</w:t>
      </w:r>
      <w:proofErr w:type="spellStart"/>
      <w:r w:rsidR="008816CA">
        <w:rPr>
          <w:rFonts w:cs="Times New Roman"/>
          <w:color w:val="000000"/>
          <w:szCs w:val="24"/>
        </w:rPr>
        <w:t>des</w:t>
      </w:r>
      <w:proofErr w:type="spellEnd"/>
      <w:r w:rsidR="008816CA">
        <w:rPr>
          <w:rFonts w:cs="Times New Roman"/>
          <w:color w:val="000000"/>
          <w:szCs w:val="24"/>
        </w:rPr>
        <w:t>)continuidade da Bolsa Produtividade.</w:t>
      </w:r>
    </w:p>
    <w:p w14:paraId="60A8BB7C" w14:textId="77777777" w:rsidR="00D625D9" w:rsidRPr="0085005B" w:rsidRDefault="00D625D9" w:rsidP="00565C5C">
      <w:pPr>
        <w:spacing w:after="0"/>
        <w:ind w:firstLine="708"/>
        <w:rPr>
          <w:rFonts w:cs="Times New Roman"/>
          <w:color w:val="000000"/>
          <w:szCs w:val="24"/>
        </w:rPr>
      </w:pPr>
    </w:p>
    <w:p w14:paraId="399E6609" w14:textId="201400A2" w:rsidR="004C1C85" w:rsidRPr="00976AB4" w:rsidRDefault="004C1C85" w:rsidP="004C1C85">
      <w:pPr>
        <w:pStyle w:val="PargrafodaLista"/>
        <w:numPr>
          <w:ilvl w:val="0"/>
          <w:numId w:val="1"/>
        </w:numPr>
        <w:rPr>
          <w:b/>
          <w:bCs/>
          <w:color w:val="000000"/>
          <w:sz w:val="28"/>
          <w:szCs w:val="28"/>
        </w:rPr>
      </w:pPr>
      <w:r w:rsidRPr="00976AB4">
        <w:rPr>
          <w:b/>
          <w:bCs/>
          <w:color w:val="000000"/>
          <w:sz w:val="28"/>
          <w:szCs w:val="28"/>
        </w:rPr>
        <w:t xml:space="preserve">Antecedentes: as pesquisas que alimentaram o Projeto da Bolsa Produtividade </w:t>
      </w:r>
    </w:p>
    <w:p w14:paraId="2595BA22" w14:textId="65B66C10" w:rsidR="00565C5C" w:rsidRPr="0085005B" w:rsidRDefault="008F03C5" w:rsidP="00565C5C">
      <w:pPr>
        <w:spacing w:after="0"/>
        <w:ind w:firstLine="708"/>
        <w:rPr>
          <w:rFonts w:cs="Times New Roman"/>
          <w:color w:val="000000"/>
          <w:szCs w:val="24"/>
        </w:rPr>
      </w:pPr>
      <w:r w:rsidRPr="0085005B">
        <w:rPr>
          <w:rFonts w:cs="Times New Roman"/>
          <w:color w:val="000000"/>
          <w:szCs w:val="24"/>
        </w:rPr>
        <w:t>O projeto de Pesquisa intitulado</w:t>
      </w:r>
      <w:r w:rsidR="00565C5C" w:rsidRPr="0085005B">
        <w:rPr>
          <w:rFonts w:cs="Times New Roman"/>
          <w:color w:val="000000"/>
          <w:szCs w:val="24"/>
        </w:rPr>
        <w:t xml:space="preserve"> </w:t>
      </w:r>
      <w:r w:rsidRPr="0085005B">
        <w:rPr>
          <w:rFonts w:cs="Times New Roman"/>
          <w:i/>
          <w:iCs/>
          <w:color w:val="000000"/>
          <w:szCs w:val="24"/>
        </w:rPr>
        <w:t>Rentabilidade Prospectiva das Culturas da Agropecuária Familiar na Região Sul do Brasil</w:t>
      </w:r>
      <w:r w:rsidRPr="0085005B">
        <w:rPr>
          <w:rFonts w:cs="Times New Roman"/>
          <w:color w:val="000000"/>
          <w:szCs w:val="24"/>
        </w:rPr>
        <w:t xml:space="preserve"> </w:t>
      </w:r>
      <w:r w:rsidR="005F23B9" w:rsidRPr="0085005B">
        <w:rPr>
          <w:rFonts w:cs="Times New Roman"/>
          <w:color w:val="000000"/>
          <w:szCs w:val="24"/>
        </w:rPr>
        <w:t xml:space="preserve">(Processo 313749/2009-4), </w:t>
      </w:r>
      <w:r w:rsidR="00EC0597">
        <w:rPr>
          <w:rFonts w:cs="Times New Roman"/>
          <w:color w:val="000000"/>
          <w:szCs w:val="24"/>
        </w:rPr>
        <w:t xml:space="preserve">foi </w:t>
      </w:r>
      <w:r w:rsidRPr="0085005B">
        <w:rPr>
          <w:rFonts w:cs="Times New Roman"/>
          <w:color w:val="000000"/>
          <w:szCs w:val="24"/>
        </w:rPr>
        <w:t xml:space="preserve">o desdobramento de </w:t>
      </w:r>
      <w:r w:rsidR="000B2FBB" w:rsidRPr="0085005B">
        <w:rPr>
          <w:rFonts w:cs="Times New Roman"/>
          <w:color w:val="000000"/>
          <w:szCs w:val="24"/>
        </w:rPr>
        <w:t>um conjunto de pesquisas anteriores realizadas sob minha orientação na Fundação de Economia e Estatística e na Universidade de Santa Cruz do Sul</w:t>
      </w:r>
      <w:r w:rsidR="000B2FBB" w:rsidRPr="0085005B">
        <w:rPr>
          <w:rStyle w:val="Refdenotaderodap"/>
          <w:rFonts w:cs="Times New Roman"/>
          <w:color w:val="000000"/>
          <w:szCs w:val="24"/>
        </w:rPr>
        <w:footnoteReference w:id="5"/>
      </w:r>
      <w:r w:rsidR="00F727C4" w:rsidRPr="0085005B">
        <w:rPr>
          <w:rFonts w:cs="Times New Roman"/>
          <w:color w:val="000000"/>
          <w:szCs w:val="24"/>
        </w:rPr>
        <w:t>. Dentre estas pesquisas,</w:t>
      </w:r>
      <w:r w:rsidR="000B2FBB" w:rsidRPr="0085005B">
        <w:rPr>
          <w:rFonts w:cs="Times New Roman"/>
          <w:color w:val="000000"/>
          <w:szCs w:val="24"/>
        </w:rPr>
        <w:t xml:space="preserve"> </w:t>
      </w:r>
      <w:r w:rsidRPr="0085005B">
        <w:rPr>
          <w:rFonts w:cs="Times New Roman"/>
          <w:color w:val="000000"/>
          <w:szCs w:val="24"/>
        </w:rPr>
        <w:t xml:space="preserve">duas </w:t>
      </w:r>
      <w:r w:rsidR="00F727C4" w:rsidRPr="0085005B">
        <w:rPr>
          <w:rFonts w:cs="Times New Roman"/>
          <w:color w:val="000000"/>
          <w:szCs w:val="24"/>
        </w:rPr>
        <w:t xml:space="preserve">são particularmente importantes. </w:t>
      </w:r>
      <w:r w:rsidR="004C0E6E" w:rsidRPr="0085005B">
        <w:rPr>
          <w:rFonts w:cs="Times New Roman"/>
          <w:color w:val="000000"/>
          <w:szCs w:val="24"/>
        </w:rPr>
        <w:t>A primeira, de maior fôlego,</w:t>
      </w:r>
      <w:r w:rsidR="00EC0597">
        <w:rPr>
          <w:rFonts w:cs="Times New Roman"/>
          <w:color w:val="000000"/>
          <w:szCs w:val="24"/>
        </w:rPr>
        <w:t xml:space="preserve"> havia sido</w:t>
      </w:r>
      <w:r w:rsidR="00565C5C" w:rsidRPr="0085005B">
        <w:rPr>
          <w:rFonts w:cs="Times New Roman"/>
          <w:color w:val="000000"/>
          <w:szCs w:val="24"/>
        </w:rPr>
        <w:t xml:space="preserve"> </w:t>
      </w:r>
      <w:r w:rsidR="004C0E6E" w:rsidRPr="0085005B">
        <w:rPr>
          <w:rFonts w:cs="Times New Roman"/>
          <w:color w:val="000000"/>
          <w:szCs w:val="24"/>
        </w:rPr>
        <w:lastRenderedPageBreak/>
        <w:t>objeto de financiamento do CNPq (Processo</w:t>
      </w:r>
      <w:r w:rsidR="0034140C">
        <w:rPr>
          <w:rFonts w:cs="Times New Roman"/>
          <w:color w:val="000000"/>
          <w:szCs w:val="24"/>
        </w:rPr>
        <w:t xml:space="preserve"> </w:t>
      </w:r>
      <w:r w:rsidR="0034140C" w:rsidRPr="0034140C">
        <w:rPr>
          <w:rFonts w:cs="Times New Roman"/>
          <w:color w:val="000000"/>
          <w:szCs w:val="24"/>
        </w:rPr>
        <w:t xml:space="preserve">401769/2007-0), </w:t>
      </w:r>
      <w:r w:rsidR="004C0E6E" w:rsidRPr="0085005B">
        <w:rPr>
          <w:rFonts w:cs="Times New Roman"/>
          <w:color w:val="000000"/>
          <w:szCs w:val="24"/>
        </w:rPr>
        <w:t xml:space="preserve">além de contar com apoio de Fundação de Amparo à Pesquisa do Estado do Rio Grande do Sul, da Fundação de Economia e Estatística Siegfried Emanuel </w:t>
      </w:r>
      <w:proofErr w:type="spellStart"/>
      <w:r w:rsidR="004C0E6E" w:rsidRPr="0085005B">
        <w:rPr>
          <w:rFonts w:cs="Times New Roman"/>
          <w:color w:val="000000"/>
          <w:szCs w:val="24"/>
        </w:rPr>
        <w:t>Heuser</w:t>
      </w:r>
      <w:proofErr w:type="spellEnd"/>
      <w:r w:rsidR="00380B01" w:rsidRPr="0085005B">
        <w:rPr>
          <w:rFonts w:cs="Times New Roman"/>
          <w:color w:val="000000"/>
          <w:szCs w:val="24"/>
        </w:rPr>
        <w:t xml:space="preserve"> e da Universidade de Santa Cruz do Sul. Esta pesquisa buscou identificar</w:t>
      </w:r>
      <w:r w:rsidR="004C0E6E" w:rsidRPr="0085005B">
        <w:rPr>
          <w:rFonts w:cs="Times New Roman"/>
          <w:color w:val="000000"/>
          <w:szCs w:val="24"/>
        </w:rPr>
        <w:t xml:space="preserve"> </w:t>
      </w:r>
      <w:r w:rsidRPr="0085005B">
        <w:rPr>
          <w:rFonts w:cs="Times New Roman"/>
          <w:color w:val="000000"/>
          <w:szCs w:val="24"/>
        </w:rPr>
        <w:t>os determinantes das profundas e crescentes desigualdades regionais no Rio Grande do Sul</w:t>
      </w:r>
      <w:r w:rsidR="00380B01" w:rsidRPr="0085005B">
        <w:rPr>
          <w:rFonts w:cs="Times New Roman"/>
          <w:color w:val="000000"/>
          <w:szCs w:val="24"/>
        </w:rPr>
        <w:t xml:space="preserve"> e resultou no </w:t>
      </w:r>
      <w:proofErr w:type="spellStart"/>
      <w:r w:rsidR="00C63A20" w:rsidRPr="0085005B">
        <w:rPr>
          <w:rFonts w:cs="Times New Roman"/>
          <w:color w:val="000000"/>
          <w:szCs w:val="24"/>
        </w:rPr>
        <w:t>CD-Rom</w:t>
      </w:r>
      <w:proofErr w:type="spellEnd"/>
      <w:r w:rsidR="00C63A20" w:rsidRPr="0085005B">
        <w:rPr>
          <w:rFonts w:cs="Times New Roman"/>
          <w:color w:val="000000"/>
          <w:szCs w:val="24"/>
        </w:rPr>
        <w:t xml:space="preserve"> </w:t>
      </w:r>
      <w:r w:rsidR="00C63A20" w:rsidRPr="0085005B">
        <w:rPr>
          <w:rFonts w:cs="Times New Roman"/>
          <w:i/>
          <w:szCs w:val="24"/>
        </w:rPr>
        <w:t xml:space="preserve">RS em Mapas e Dados: bases </w:t>
      </w:r>
      <w:proofErr w:type="spellStart"/>
      <w:r w:rsidR="00C63A20" w:rsidRPr="0085005B">
        <w:rPr>
          <w:rFonts w:cs="Times New Roman"/>
          <w:i/>
          <w:szCs w:val="24"/>
        </w:rPr>
        <w:t>georrefenciadas</w:t>
      </w:r>
      <w:proofErr w:type="spellEnd"/>
      <w:r w:rsidR="00C63A20" w:rsidRPr="0085005B">
        <w:rPr>
          <w:rFonts w:cs="Times New Roman"/>
          <w:i/>
          <w:szCs w:val="24"/>
        </w:rPr>
        <w:t xml:space="preserve"> para a comparação do desempenho socioeconômico dos municípios gaúchos entre 1966 e 2006 </w:t>
      </w:r>
      <w:r w:rsidR="00C63A20" w:rsidRPr="0085005B">
        <w:rPr>
          <w:rFonts w:cs="Times New Roman"/>
          <w:iCs/>
          <w:szCs w:val="24"/>
        </w:rPr>
        <w:t xml:space="preserve">(Paiva, 2007) e no </w:t>
      </w:r>
      <w:r w:rsidR="00380B01" w:rsidRPr="0085005B">
        <w:rPr>
          <w:rFonts w:cs="Times New Roman"/>
          <w:color w:val="000000"/>
          <w:szCs w:val="24"/>
        </w:rPr>
        <w:t>livro</w:t>
      </w:r>
      <w:r w:rsidRPr="0085005B">
        <w:rPr>
          <w:rFonts w:cs="Times New Roman"/>
          <w:color w:val="000000"/>
          <w:szCs w:val="24"/>
        </w:rPr>
        <w:t xml:space="preserve"> </w:t>
      </w:r>
      <w:r w:rsidR="00C63A20" w:rsidRPr="0085005B">
        <w:rPr>
          <w:rFonts w:cs="Times New Roman"/>
          <w:i/>
          <w:szCs w:val="24"/>
        </w:rPr>
        <w:t>Evolução das desigualdades territoriais do Rio Grande do Sul</w:t>
      </w:r>
      <w:r w:rsidR="00C63A20" w:rsidRPr="0085005B">
        <w:rPr>
          <w:rFonts w:cs="Times New Roman"/>
          <w:color w:val="000000"/>
          <w:szCs w:val="24"/>
        </w:rPr>
        <w:t xml:space="preserve"> (Paiva, 2008a), bem como em artigos apresentados em congressos e seminários nacionais e internacionais</w:t>
      </w:r>
      <w:r w:rsidR="00F55309" w:rsidRPr="0085005B">
        <w:rPr>
          <w:rFonts w:cs="Times New Roman"/>
          <w:color w:val="000000"/>
          <w:szCs w:val="24"/>
        </w:rPr>
        <w:t xml:space="preserve"> e publicados na mídia gaúcha (Paiva</w:t>
      </w:r>
      <w:r w:rsidR="00565C5C" w:rsidRPr="0085005B">
        <w:rPr>
          <w:rFonts w:cs="Times New Roman"/>
          <w:color w:val="000000"/>
          <w:szCs w:val="24"/>
        </w:rPr>
        <w:t>, 2007b)</w:t>
      </w:r>
      <w:r w:rsidR="00C63A20" w:rsidRPr="0085005B">
        <w:rPr>
          <w:rFonts w:cs="Times New Roman"/>
          <w:color w:val="000000"/>
          <w:szCs w:val="24"/>
        </w:rPr>
        <w:t xml:space="preserve">. </w:t>
      </w:r>
    </w:p>
    <w:p w14:paraId="33CD4689" w14:textId="6BB974C4" w:rsidR="008F03C5" w:rsidRPr="0085005B" w:rsidRDefault="00C63A20" w:rsidP="00565C5C">
      <w:pPr>
        <w:spacing w:after="0"/>
        <w:ind w:firstLine="708"/>
        <w:rPr>
          <w:rFonts w:cs="Times New Roman"/>
          <w:color w:val="000000"/>
          <w:szCs w:val="24"/>
        </w:rPr>
      </w:pPr>
      <w:r w:rsidRPr="0085005B">
        <w:rPr>
          <w:rFonts w:cs="Times New Roman"/>
          <w:color w:val="000000"/>
          <w:szCs w:val="24"/>
        </w:rPr>
        <w:t>A segunda pesquisa baseou-se na orientação da dissertação de Mestrado de Lucir Alves, voltada à identificação dos determinantes das desigualdades dinâmicas entre mesorregiões do Oeste rio-grandense, catarinense e paranaense. Para além da dissertação realizada sob minha orientação (Alves, 2008), esta pesquisa também veio a se desdobrar em artigos apresentados em seminários e congressos nacionais (Alves e Paiva, 2007</w:t>
      </w:r>
      <w:r w:rsidR="00F55309" w:rsidRPr="0085005B">
        <w:rPr>
          <w:rFonts w:cs="Times New Roman"/>
          <w:color w:val="000000"/>
          <w:szCs w:val="24"/>
        </w:rPr>
        <w:t>; Paiva e Alves, 2008)</w:t>
      </w:r>
      <w:r w:rsidRPr="0085005B">
        <w:rPr>
          <w:rFonts w:cs="Times New Roman"/>
          <w:color w:val="000000"/>
          <w:szCs w:val="24"/>
        </w:rPr>
        <w:t xml:space="preserve"> e em um artigo publicado no livro organizado por mim (</w:t>
      </w:r>
      <w:proofErr w:type="spellStart"/>
      <w:r w:rsidR="00F55309" w:rsidRPr="0085005B">
        <w:rPr>
          <w:rFonts w:cs="Times New Roman"/>
          <w:color w:val="000000"/>
          <w:szCs w:val="24"/>
        </w:rPr>
        <w:t>Trennepohl</w:t>
      </w:r>
      <w:proofErr w:type="spellEnd"/>
      <w:r w:rsidR="00F55309" w:rsidRPr="0085005B">
        <w:rPr>
          <w:rFonts w:cs="Times New Roman"/>
          <w:color w:val="000000"/>
          <w:szCs w:val="24"/>
        </w:rPr>
        <w:t xml:space="preserve">, Alves e Flores, 2008; in Paiva 2008a) </w:t>
      </w:r>
    </w:p>
    <w:p w14:paraId="5D310918" w14:textId="1994FDF8" w:rsidR="008F03C5" w:rsidRPr="0085005B" w:rsidRDefault="00565C5C" w:rsidP="00D34CAC">
      <w:pPr>
        <w:spacing w:after="0"/>
        <w:ind w:firstLine="708"/>
        <w:rPr>
          <w:rFonts w:cs="Times New Roman"/>
          <w:color w:val="000000"/>
          <w:szCs w:val="24"/>
        </w:rPr>
      </w:pPr>
      <w:r w:rsidRPr="0085005B">
        <w:rPr>
          <w:rFonts w:cs="Times New Roman"/>
          <w:color w:val="000000"/>
          <w:szCs w:val="24"/>
        </w:rPr>
        <w:t>A principal conclusão das duas pesquisas foi a de que as profundas e preocupantes diferenças na dinâmica dos territórios estudados encontrava-se na especialização produtiva agropecuária e, por extensão, no tipo de agroindústria e agronegócio que aquelas especializações davam origem. Aquelas regiões que se especializaram 1) em atividades produtivas perenes, que solicitavam mobilização de mão-de-obra ao longo de todo o ano de forma mais ou menos estável, tais como fruticultura, produção leiteira, avicultura, suinocultura; e 2) em atividades produtivas que geravam matérias-primas que solicitavam beneficiamento local antes de serem transportadas para os mercados finais</w:t>
      </w:r>
      <w:r w:rsidR="00D34CAC" w:rsidRPr="0085005B">
        <w:rPr>
          <w:rFonts w:cs="Times New Roman"/>
          <w:color w:val="000000"/>
          <w:szCs w:val="24"/>
        </w:rPr>
        <w:t>, apresentavam um desempenho global muito superior às regiões cuja produção agropecuária estava centrada em agricultura temporária (soja, arroz, etc.) e cujo p</w:t>
      </w:r>
      <w:r w:rsidRPr="0085005B">
        <w:rPr>
          <w:rFonts w:cs="Times New Roman"/>
          <w:color w:val="000000"/>
          <w:szCs w:val="24"/>
        </w:rPr>
        <w:t xml:space="preserve">ermanente </w:t>
      </w:r>
      <w:r w:rsidR="00D34CAC" w:rsidRPr="0085005B">
        <w:rPr>
          <w:rFonts w:cs="Times New Roman"/>
          <w:color w:val="000000"/>
          <w:szCs w:val="24"/>
        </w:rPr>
        <w:t xml:space="preserve">não solicitava agregação de valor industrial no próprio território. As diferenças dinâmicas identificadas </w:t>
      </w:r>
      <w:r w:rsidR="00D34CAC" w:rsidRPr="0085005B">
        <w:rPr>
          <w:rFonts w:cs="Times New Roman"/>
          <w:color w:val="000000"/>
          <w:szCs w:val="24"/>
        </w:rPr>
        <w:lastRenderedPageBreak/>
        <w:t>manifestavam-se nos mais diversos indicadores: PIB</w:t>
      </w:r>
      <w:r w:rsidR="00BA3E9B">
        <w:rPr>
          <w:rFonts w:cs="Times New Roman"/>
          <w:color w:val="000000"/>
          <w:szCs w:val="24"/>
        </w:rPr>
        <w:t xml:space="preserve"> (Produto Interno Bruto)</w:t>
      </w:r>
      <w:r w:rsidR="00D34CAC" w:rsidRPr="0085005B">
        <w:rPr>
          <w:rFonts w:cs="Times New Roman"/>
          <w:color w:val="000000"/>
          <w:szCs w:val="24"/>
        </w:rPr>
        <w:t xml:space="preserve">, </w:t>
      </w:r>
      <w:r w:rsidR="00BA3E9B">
        <w:rPr>
          <w:rFonts w:cs="Times New Roman"/>
          <w:color w:val="000000"/>
          <w:szCs w:val="24"/>
        </w:rPr>
        <w:t xml:space="preserve">VAB (Valor Agregado Bruto) dos diversos setores, </w:t>
      </w:r>
      <w:r w:rsidR="00D34CAC" w:rsidRPr="0085005B">
        <w:rPr>
          <w:rFonts w:cs="Times New Roman"/>
          <w:color w:val="000000"/>
          <w:szCs w:val="24"/>
        </w:rPr>
        <w:t xml:space="preserve">renda pessoal, dinâmica demográfica e diversificação produtiva industrial. Mas eram particularmente evidentes nas três últimas variáveis. Vale dizer: </w:t>
      </w:r>
      <w:r w:rsidR="00D34CAC" w:rsidRPr="00BA3E9B">
        <w:rPr>
          <w:rFonts w:cs="Times New Roman"/>
          <w:b/>
          <w:bCs/>
          <w:color w:val="000000"/>
          <w:szCs w:val="24"/>
        </w:rPr>
        <w:t>quando se avaliava o desempenho das regiões exclusivamente pelo PIB</w:t>
      </w:r>
      <w:r w:rsidR="00BA3E9B" w:rsidRPr="00BA3E9B">
        <w:rPr>
          <w:rFonts w:cs="Times New Roman"/>
          <w:b/>
          <w:bCs/>
          <w:color w:val="000000"/>
          <w:szCs w:val="24"/>
        </w:rPr>
        <w:t xml:space="preserve"> ou pelo VAB, </w:t>
      </w:r>
      <w:r w:rsidR="00D34CAC" w:rsidRPr="00BA3E9B">
        <w:rPr>
          <w:rFonts w:cs="Times New Roman"/>
          <w:b/>
          <w:bCs/>
          <w:color w:val="000000"/>
          <w:szCs w:val="24"/>
        </w:rPr>
        <w:t>a desigualdade dinâmica era menos evidente. Mas quando avaliávamos o desempenho levando em consideração o conjunto das variáveis elencadas, as diferenças vinham à luz com grande nitidez</w:t>
      </w:r>
      <w:r w:rsidR="00D34CAC" w:rsidRPr="0085005B">
        <w:rPr>
          <w:rStyle w:val="Refdenotaderodap"/>
          <w:rFonts w:cs="Times New Roman"/>
          <w:color w:val="000000"/>
          <w:szCs w:val="24"/>
        </w:rPr>
        <w:footnoteReference w:id="6"/>
      </w:r>
      <w:r w:rsidR="00D34CAC" w:rsidRPr="0085005B">
        <w:rPr>
          <w:rFonts w:cs="Times New Roman"/>
          <w:color w:val="000000"/>
          <w:szCs w:val="24"/>
        </w:rPr>
        <w:t xml:space="preserve">. </w:t>
      </w:r>
    </w:p>
    <w:p w14:paraId="76FDBF50" w14:textId="78197F48" w:rsidR="00872480" w:rsidRPr="0085005B" w:rsidRDefault="00A3027E" w:rsidP="00380B01">
      <w:pPr>
        <w:rPr>
          <w:rFonts w:cs="Times New Roman"/>
          <w:color w:val="000000"/>
          <w:szCs w:val="24"/>
        </w:rPr>
      </w:pPr>
      <w:r w:rsidRPr="0085005B">
        <w:rPr>
          <w:rFonts w:cs="Times New Roman"/>
          <w:color w:val="000000"/>
          <w:szCs w:val="24"/>
        </w:rPr>
        <w:tab/>
        <w:t xml:space="preserve">As conclusões das pesquisas anteriores não </w:t>
      </w:r>
      <w:r w:rsidR="00673EDB" w:rsidRPr="0085005B">
        <w:rPr>
          <w:rFonts w:cs="Times New Roman"/>
          <w:color w:val="000000"/>
          <w:szCs w:val="24"/>
        </w:rPr>
        <w:t xml:space="preserve">chegam a ser </w:t>
      </w:r>
      <w:r w:rsidRPr="0085005B">
        <w:rPr>
          <w:rFonts w:cs="Times New Roman"/>
          <w:color w:val="000000"/>
          <w:szCs w:val="24"/>
        </w:rPr>
        <w:t>surpreendentes</w:t>
      </w:r>
      <w:r w:rsidR="00673EDB" w:rsidRPr="0085005B">
        <w:rPr>
          <w:rFonts w:cs="Times New Roman"/>
          <w:color w:val="000000"/>
          <w:szCs w:val="24"/>
        </w:rPr>
        <w:t>, nem poderiam ser caracterizadas como r</w:t>
      </w:r>
      <w:r w:rsidRPr="0085005B">
        <w:rPr>
          <w:rFonts w:cs="Times New Roman"/>
          <w:color w:val="000000"/>
          <w:szCs w:val="24"/>
        </w:rPr>
        <w:t>adicalmente inovadoras. Elas essencialmente confirmam as teses de Douglass North (1955 e 1959) – recentemente atualizadas Paul Krugman (1991) – sobre a diversidade de trajetórias de desenvolvimento e os vínculos entre estas trajetórias e o potencial de desdobramento e diversificação da base produtiva original de cada território. Não obstante, o fato de tratar-se de uma comprovação empírica a partir de testes aplicados a um amplo território com base em dados de longa duração comporta, sim, elementos inovadores. Inclusive em função da forma como foram feitos os testes: foi criada uma base “municipal” completamente nova, com vistas a driblar o problema associado à multiplicação do número de municípios sem incorrer na “muleta” das Áreas Mínimas Comparáveis, que maximizam os graves problemas estatísticos associados ao MAUP (</w:t>
      </w:r>
      <w:proofErr w:type="spellStart"/>
      <w:r w:rsidR="00EC0597">
        <w:rPr>
          <w:rFonts w:cs="Times New Roman"/>
          <w:color w:val="000000"/>
          <w:szCs w:val="24"/>
        </w:rPr>
        <w:t>M</w:t>
      </w:r>
      <w:r w:rsidRPr="0085005B">
        <w:rPr>
          <w:rFonts w:cs="Times New Roman"/>
          <w:color w:val="000000"/>
          <w:szCs w:val="24"/>
        </w:rPr>
        <w:t>odifiable</w:t>
      </w:r>
      <w:proofErr w:type="spellEnd"/>
      <w:r w:rsidRPr="0085005B">
        <w:rPr>
          <w:rFonts w:cs="Times New Roman"/>
          <w:color w:val="000000"/>
          <w:szCs w:val="24"/>
        </w:rPr>
        <w:t xml:space="preserve"> </w:t>
      </w:r>
      <w:r w:rsidR="00EC0597">
        <w:rPr>
          <w:rFonts w:cs="Times New Roman"/>
          <w:color w:val="000000"/>
          <w:szCs w:val="24"/>
        </w:rPr>
        <w:t>A</w:t>
      </w:r>
      <w:r w:rsidRPr="0085005B">
        <w:rPr>
          <w:rFonts w:cs="Times New Roman"/>
          <w:color w:val="000000"/>
          <w:szCs w:val="24"/>
        </w:rPr>
        <w:t xml:space="preserve">real </w:t>
      </w:r>
      <w:r w:rsidR="00EC0597">
        <w:rPr>
          <w:rFonts w:cs="Times New Roman"/>
          <w:color w:val="000000"/>
          <w:szCs w:val="24"/>
        </w:rPr>
        <w:t>U</w:t>
      </w:r>
      <w:r w:rsidRPr="0085005B">
        <w:rPr>
          <w:rFonts w:cs="Times New Roman"/>
          <w:color w:val="000000"/>
          <w:szCs w:val="24"/>
        </w:rPr>
        <w:t xml:space="preserve">nit </w:t>
      </w:r>
      <w:proofErr w:type="spellStart"/>
      <w:r w:rsidR="00EC0597">
        <w:rPr>
          <w:rFonts w:cs="Times New Roman"/>
          <w:color w:val="000000"/>
          <w:szCs w:val="24"/>
        </w:rPr>
        <w:t>P</w:t>
      </w:r>
      <w:r w:rsidRPr="0085005B">
        <w:rPr>
          <w:rFonts w:cs="Times New Roman"/>
          <w:color w:val="000000"/>
          <w:szCs w:val="24"/>
        </w:rPr>
        <w:t>roblem</w:t>
      </w:r>
      <w:proofErr w:type="spellEnd"/>
      <w:r w:rsidRPr="0085005B">
        <w:rPr>
          <w:rFonts w:cs="Times New Roman"/>
          <w:color w:val="000000"/>
          <w:szCs w:val="24"/>
        </w:rPr>
        <w:t>). Além disso – e ainda mais importante – o que as pesquisas revelavam era particularmente grave e relevante no plano social e econômico: a especialização econômica</w:t>
      </w:r>
      <w:r w:rsidR="004A7A55" w:rsidRPr="0085005B">
        <w:rPr>
          <w:rFonts w:cs="Times New Roman"/>
          <w:color w:val="000000"/>
          <w:szCs w:val="24"/>
        </w:rPr>
        <w:t xml:space="preserve"> em produtos da agricultura temporária que </w:t>
      </w:r>
      <w:r w:rsidR="004A7A55" w:rsidRPr="0085005B">
        <w:rPr>
          <w:rFonts w:cs="Times New Roman"/>
          <w:color w:val="000000"/>
          <w:szCs w:val="24"/>
        </w:rPr>
        <w:lastRenderedPageBreak/>
        <w:t xml:space="preserve">são demandados com pouca ou nenhuma agregação de valor – em especial a soja! – estava levando à queda da rentabilidade da agricultura familiar, alimentando graves problemas de sucessão no campo, estimulando o êxodo rural e promovendo a reconcentração fundiária em regiões </w:t>
      </w:r>
      <w:r w:rsidRPr="0085005B">
        <w:rPr>
          <w:rFonts w:cs="Times New Roman"/>
          <w:color w:val="000000"/>
          <w:szCs w:val="24"/>
        </w:rPr>
        <w:t xml:space="preserve"> </w:t>
      </w:r>
      <w:r w:rsidR="004A7A55" w:rsidRPr="0085005B">
        <w:rPr>
          <w:rFonts w:cs="Times New Roman"/>
          <w:color w:val="000000"/>
          <w:szCs w:val="24"/>
        </w:rPr>
        <w:t xml:space="preserve">que já foram pujantes. </w:t>
      </w:r>
    </w:p>
    <w:p w14:paraId="69E20878" w14:textId="40F19E50" w:rsidR="004C1C85" w:rsidRPr="00976AB4" w:rsidRDefault="00BA3E9B" w:rsidP="004C1C85">
      <w:pPr>
        <w:pStyle w:val="PargrafodaLista"/>
        <w:numPr>
          <w:ilvl w:val="0"/>
          <w:numId w:val="1"/>
        </w:numPr>
        <w:rPr>
          <w:b/>
          <w:bCs/>
          <w:color w:val="000000"/>
          <w:sz w:val="28"/>
          <w:szCs w:val="28"/>
        </w:rPr>
      </w:pPr>
      <w:r w:rsidRPr="00976AB4">
        <w:rPr>
          <w:b/>
          <w:bCs/>
          <w:color w:val="000000"/>
          <w:sz w:val="28"/>
          <w:szCs w:val="28"/>
        </w:rPr>
        <w:t>As primeiras conclusões da Pesquisa no ano de 2010</w:t>
      </w:r>
    </w:p>
    <w:p w14:paraId="64E14A31" w14:textId="77777777" w:rsidR="00CB4044" w:rsidRPr="0085005B" w:rsidRDefault="004A7A55" w:rsidP="00380B01">
      <w:pPr>
        <w:rPr>
          <w:rFonts w:cs="Times New Roman"/>
          <w:color w:val="000000"/>
          <w:szCs w:val="24"/>
        </w:rPr>
      </w:pPr>
      <w:r w:rsidRPr="0085005B">
        <w:rPr>
          <w:rFonts w:cs="Times New Roman"/>
          <w:color w:val="000000"/>
          <w:szCs w:val="24"/>
        </w:rPr>
        <w:tab/>
      </w:r>
      <w:r w:rsidR="00673EDB" w:rsidRPr="0085005B">
        <w:rPr>
          <w:rFonts w:cs="Times New Roman"/>
          <w:color w:val="000000"/>
          <w:szCs w:val="24"/>
        </w:rPr>
        <w:t xml:space="preserve">Tal como apontamos na Introdução, a pesquisa teve início no ano de 2009, antes mesmo do financiamento do CNPq. Não obstante, o processo de financiamento por parte do IPEA foi particularmente moroso e complexo. Desde logo, a instituição entendeu que a circunscrição inicial da pesquisa ao RS era indevida e propunham comparações com o Nordeste. </w:t>
      </w:r>
      <w:r w:rsidR="0001442D" w:rsidRPr="0085005B">
        <w:rPr>
          <w:rFonts w:cs="Times New Roman"/>
          <w:color w:val="000000"/>
          <w:szCs w:val="24"/>
        </w:rPr>
        <w:t>Conseguimos convencer os pareceristas a operar com regiões mais similares e trabalharmos com os três estados do Sul. De qualquer forma, o ajuste levou a uma perda de tempo (quase um ano de negociações) e de instrumento de pesquisa: havíamos construído um sistema de análise de longo prazo que nos permitia driblar os gravíssimos problemas e vieses estatísticos impostos pelo uso de Áreas Mínimas Comparáveis para a comparação de dados de longo prazo. E as imposições do IPEA tornaram este instrumento inutilizável, pois ele não poderia ser replicado para Santa Catarina e Paraná</w:t>
      </w:r>
      <w:r w:rsidR="00CB4044" w:rsidRPr="0085005B">
        <w:rPr>
          <w:rStyle w:val="Refdenotaderodap"/>
          <w:rFonts w:cs="Times New Roman"/>
          <w:color w:val="000000"/>
          <w:szCs w:val="24"/>
        </w:rPr>
        <w:footnoteReference w:id="7"/>
      </w:r>
      <w:r w:rsidR="0001442D" w:rsidRPr="0085005B">
        <w:rPr>
          <w:rFonts w:cs="Times New Roman"/>
          <w:color w:val="000000"/>
          <w:szCs w:val="24"/>
        </w:rPr>
        <w:t xml:space="preserve">. </w:t>
      </w:r>
    </w:p>
    <w:p w14:paraId="2498152D" w14:textId="77777777" w:rsidR="00CB4044" w:rsidRPr="0085005B" w:rsidRDefault="00CB4044" w:rsidP="00CB4044">
      <w:pPr>
        <w:ind w:firstLine="708"/>
        <w:rPr>
          <w:rFonts w:cs="Times New Roman"/>
          <w:color w:val="000000"/>
          <w:szCs w:val="24"/>
        </w:rPr>
      </w:pPr>
      <w:r w:rsidRPr="0085005B">
        <w:rPr>
          <w:rFonts w:cs="Times New Roman"/>
          <w:color w:val="000000"/>
          <w:szCs w:val="24"/>
        </w:rPr>
        <w:t xml:space="preserve">Finalmente, ao final do segundo semestre de 2009, às vésperas da concessão e início da Bolsa Produtividade, a pesquisa teve início com o apoio do IPEA. </w:t>
      </w:r>
    </w:p>
    <w:p w14:paraId="44AED2DD" w14:textId="32EF623A" w:rsidR="004A7A55" w:rsidRPr="0085005B" w:rsidRDefault="004A7A55" w:rsidP="00CB4044">
      <w:pPr>
        <w:ind w:firstLine="708"/>
        <w:rPr>
          <w:rFonts w:cs="Times New Roman"/>
          <w:color w:val="000000"/>
          <w:szCs w:val="24"/>
        </w:rPr>
      </w:pPr>
      <w:r w:rsidRPr="0085005B">
        <w:rPr>
          <w:rFonts w:cs="Times New Roman"/>
          <w:color w:val="000000"/>
          <w:szCs w:val="24"/>
        </w:rPr>
        <w:t xml:space="preserve">A questão que </w:t>
      </w:r>
      <w:r w:rsidR="004C1C85" w:rsidRPr="0085005B">
        <w:rPr>
          <w:rFonts w:cs="Times New Roman"/>
          <w:color w:val="000000"/>
          <w:szCs w:val="24"/>
        </w:rPr>
        <w:t xml:space="preserve">nos colocávamos </w:t>
      </w:r>
      <w:r w:rsidRPr="0085005B">
        <w:rPr>
          <w:rFonts w:cs="Times New Roman"/>
          <w:color w:val="000000"/>
          <w:szCs w:val="24"/>
        </w:rPr>
        <w:t xml:space="preserve">na nova pesquisa não era meramente teórica. </w:t>
      </w:r>
      <w:r w:rsidR="0007427A" w:rsidRPr="0085005B">
        <w:rPr>
          <w:rFonts w:cs="Times New Roman"/>
          <w:color w:val="000000"/>
          <w:szCs w:val="24"/>
        </w:rPr>
        <w:t xml:space="preserve">Queríamos entender </w:t>
      </w:r>
      <w:r w:rsidRPr="0085005B">
        <w:rPr>
          <w:rFonts w:cs="Times New Roman"/>
          <w:color w:val="000000"/>
          <w:szCs w:val="24"/>
        </w:rPr>
        <w:t xml:space="preserve">as razões que estimularam (no passado) e continuavam estimulando (no presente) que vastos territórios de produção agrícola predominantemente familiar se especializassem em atividades que, a princípio, eram inconsistentes com a sustentabilidade da própria agricultura familiar, atividades que incorporavam pouca mão-de-obra, por um período relativamente curto de tempo ao longo do ano e cuja rentabilidade era fortemente dependente de maquinário, insumos químicos, sementes certificadas e área cultivada. </w:t>
      </w:r>
    </w:p>
    <w:p w14:paraId="03CDB6F2" w14:textId="01968A86" w:rsidR="00C3393F" w:rsidRPr="0085005B" w:rsidRDefault="00C3393F" w:rsidP="004A7A55">
      <w:pPr>
        <w:ind w:firstLine="708"/>
        <w:rPr>
          <w:rFonts w:cs="Times New Roman"/>
          <w:color w:val="000000"/>
          <w:szCs w:val="24"/>
        </w:rPr>
      </w:pPr>
      <w:r w:rsidRPr="0085005B">
        <w:rPr>
          <w:rFonts w:cs="Times New Roman"/>
          <w:color w:val="000000"/>
          <w:szCs w:val="24"/>
        </w:rPr>
        <w:lastRenderedPageBreak/>
        <w:t xml:space="preserve">Na verdade, o projeto de pesquisa foi pensado com vistas a poder responder a questões bastante concretas e contribuir para o enfrentamento daquele que nos parece ser um dos maiores problemas do país: a baixa operacionalidade e aplicabilidade das pesquisas científicas em geral e na área de ciências humanas e sociais em particular. Como bem lembra Murilo Flores, na Apresentação do livro </w:t>
      </w:r>
      <w:r w:rsidRPr="0085005B">
        <w:rPr>
          <w:rFonts w:cs="Times New Roman"/>
          <w:i/>
          <w:iCs/>
          <w:color w:val="000000"/>
          <w:szCs w:val="24"/>
        </w:rPr>
        <w:t>Juventude e Agricultura Familiar: desafio dos novos padrões sucessórios</w:t>
      </w:r>
      <w:r w:rsidRPr="0085005B">
        <w:rPr>
          <w:rFonts w:cs="Times New Roman"/>
          <w:color w:val="000000"/>
          <w:szCs w:val="24"/>
        </w:rPr>
        <w:t>:</w:t>
      </w:r>
    </w:p>
    <w:p w14:paraId="3701DE8D" w14:textId="48A0B6B9" w:rsidR="003011A6" w:rsidRPr="00012DD2" w:rsidRDefault="00012DD2" w:rsidP="00012DD2">
      <w:pPr>
        <w:spacing w:line="240" w:lineRule="auto"/>
        <w:ind w:left="2268"/>
        <w:rPr>
          <w:rFonts w:cs="Times New Roman"/>
          <w:color w:val="000000"/>
          <w:sz w:val="22"/>
          <w:szCs w:val="22"/>
        </w:rPr>
      </w:pPr>
      <w:r>
        <w:rPr>
          <w:rFonts w:cs="Times New Roman"/>
          <w:color w:val="000000"/>
          <w:sz w:val="22"/>
          <w:szCs w:val="22"/>
        </w:rPr>
        <w:t>“</w:t>
      </w:r>
      <w:r w:rsidR="003011A6" w:rsidRPr="00012DD2">
        <w:rPr>
          <w:rFonts w:cs="Times New Roman"/>
          <w:color w:val="000000"/>
          <w:sz w:val="22"/>
          <w:szCs w:val="22"/>
        </w:rPr>
        <w:t>Apesar das contribuições fornecidas por diversos estudos desenvolvidos por universidade, institutos de pesquisa ou organizações não-governamentais, ainda são poucas as informações disponíveis para subsidiar a definição de políticas públicas de desenvolvimento mais ajustadas às necessidades da agricultura familiar e mais coerentes com a construção de um novo modelo agrícola para o Brasil.</w:t>
      </w:r>
      <w:r>
        <w:rPr>
          <w:rFonts w:cs="Times New Roman"/>
          <w:color w:val="000000"/>
          <w:sz w:val="22"/>
          <w:szCs w:val="22"/>
        </w:rPr>
        <w:t>”</w:t>
      </w:r>
      <w:r w:rsidR="003011A6" w:rsidRPr="00012DD2">
        <w:rPr>
          <w:rFonts w:cs="Times New Roman"/>
          <w:color w:val="000000"/>
          <w:sz w:val="22"/>
          <w:szCs w:val="22"/>
        </w:rPr>
        <w:t xml:space="preserve"> (Abramovay et al., 1998, p. 10). </w:t>
      </w:r>
    </w:p>
    <w:p w14:paraId="3EB91296" w14:textId="6F29208A" w:rsidR="003011A6" w:rsidRPr="0085005B" w:rsidRDefault="00705261" w:rsidP="004A7A55">
      <w:pPr>
        <w:ind w:firstLine="708"/>
        <w:rPr>
          <w:rFonts w:cs="Times New Roman"/>
          <w:color w:val="000000"/>
          <w:szCs w:val="24"/>
        </w:rPr>
      </w:pPr>
      <w:r w:rsidRPr="0085005B">
        <w:rPr>
          <w:rFonts w:cs="Times New Roman"/>
          <w:color w:val="000000"/>
          <w:szCs w:val="24"/>
        </w:rPr>
        <w:t xml:space="preserve">Nossa </w:t>
      </w:r>
      <w:r w:rsidR="003011A6" w:rsidRPr="0085005B">
        <w:rPr>
          <w:rFonts w:cs="Times New Roman"/>
          <w:color w:val="000000"/>
          <w:szCs w:val="24"/>
        </w:rPr>
        <w:t xml:space="preserve">intenção era contribuir para o preenchimento parcial desta lacuna. Para tanto, definimos algumas hipóteses, uma estratégia de testes, um sistema de pesquisa e elencamos um conjunto de produtos que esperávamos poder ofertar. </w:t>
      </w:r>
    </w:p>
    <w:p w14:paraId="5550F353" w14:textId="09B7F9B2" w:rsidR="00705261" w:rsidRPr="0085005B" w:rsidRDefault="003011A6" w:rsidP="004A7A55">
      <w:pPr>
        <w:ind w:firstLine="708"/>
        <w:rPr>
          <w:rFonts w:cs="Times New Roman"/>
          <w:color w:val="000000"/>
          <w:szCs w:val="24"/>
        </w:rPr>
      </w:pPr>
      <w:r w:rsidRPr="0085005B">
        <w:rPr>
          <w:rFonts w:cs="Times New Roman"/>
          <w:color w:val="000000"/>
          <w:szCs w:val="24"/>
        </w:rPr>
        <w:t xml:space="preserve">Nossa </w:t>
      </w:r>
      <w:r w:rsidR="00705261" w:rsidRPr="0085005B">
        <w:rPr>
          <w:rFonts w:cs="Times New Roman"/>
          <w:color w:val="000000"/>
          <w:szCs w:val="24"/>
        </w:rPr>
        <w:t xml:space="preserve">hipótese inicial era </w:t>
      </w:r>
      <w:r w:rsidR="00CD28D2" w:rsidRPr="0085005B">
        <w:rPr>
          <w:rFonts w:cs="Times New Roman"/>
          <w:color w:val="000000"/>
          <w:szCs w:val="24"/>
        </w:rPr>
        <w:t>tríplice</w:t>
      </w:r>
      <w:r w:rsidR="00705261" w:rsidRPr="0085005B">
        <w:rPr>
          <w:rFonts w:cs="Times New Roman"/>
          <w:color w:val="000000"/>
          <w:szCs w:val="24"/>
        </w:rPr>
        <w:t>. Em primeiro lugar, a “opção” da agricultura familiar pela “agricultura temporária” deitava raízes em determinações de longa duração</w:t>
      </w:r>
      <w:r w:rsidRPr="0085005B">
        <w:rPr>
          <w:rFonts w:cs="Times New Roman"/>
          <w:color w:val="000000"/>
          <w:szCs w:val="24"/>
        </w:rPr>
        <w:t xml:space="preserve"> em que</w:t>
      </w:r>
      <w:r w:rsidR="00705261" w:rsidRPr="0085005B">
        <w:rPr>
          <w:rFonts w:cs="Times New Roman"/>
          <w:color w:val="000000"/>
          <w:szCs w:val="24"/>
        </w:rPr>
        <w:t xml:space="preserve"> o passado escravista da economia brasileira</w:t>
      </w:r>
      <w:r w:rsidRPr="0085005B">
        <w:rPr>
          <w:rFonts w:cs="Times New Roman"/>
          <w:color w:val="000000"/>
          <w:szCs w:val="24"/>
        </w:rPr>
        <w:t xml:space="preserve"> ocupava papel proeminente</w:t>
      </w:r>
      <w:r w:rsidR="00705261" w:rsidRPr="0085005B">
        <w:rPr>
          <w:rFonts w:cs="Times New Roman"/>
          <w:color w:val="000000"/>
          <w:szCs w:val="24"/>
        </w:rPr>
        <w:t>. Como se sabe, o escravismo só é rentável se se mantém o produtor direto trabalha</w:t>
      </w:r>
      <w:r w:rsidRPr="0085005B">
        <w:rPr>
          <w:rFonts w:cs="Times New Roman"/>
          <w:color w:val="000000"/>
          <w:szCs w:val="24"/>
        </w:rPr>
        <w:t>n</w:t>
      </w:r>
      <w:r w:rsidR="00705261" w:rsidRPr="0085005B">
        <w:rPr>
          <w:rFonts w:cs="Times New Roman"/>
          <w:color w:val="000000"/>
          <w:szCs w:val="24"/>
        </w:rPr>
        <w:t>do o maior tempo possível; no limite, permanentemente</w:t>
      </w:r>
      <w:r w:rsidRPr="0085005B">
        <w:rPr>
          <w:rFonts w:cs="Times New Roman"/>
          <w:color w:val="000000"/>
          <w:szCs w:val="24"/>
        </w:rPr>
        <w:t>, excetuados os períodos impositivos de repouso e alimentação</w:t>
      </w:r>
      <w:r w:rsidR="00705261" w:rsidRPr="0085005B">
        <w:rPr>
          <w:rFonts w:cs="Times New Roman"/>
          <w:color w:val="000000"/>
          <w:szCs w:val="24"/>
        </w:rPr>
        <w:t xml:space="preserve">. Se as oportunidades de exploração </w:t>
      </w:r>
      <w:r w:rsidRPr="0085005B">
        <w:rPr>
          <w:rFonts w:cs="Times New Roman"/>
          <w:color w:val="000000"/>
          <w:szCs w:val="24"/>
        </w:rPr>
        <w:t xml:space="preserve">e apropriação de lucros </w:t>
      </w:r>
      <w:r w:rsidR="00705261" w:rsidRPr="0085005B">
        <w:rPr>
          <w:rFonts w:cs="Times New Roman"/>
          <w:color w:val="000000"/>
          <w:szCs w:val="24"/>
        </w:rPr>
        <w:t xml:space="preserve">disponíveis </w:t>
      </w:r>
      <w:r w:rsidR="00B462C5" w:rsidRPr="0085005B">
        <w:rPr>
          <w:rFonts w:cs="Times New Roman"/>
          <w:color w:val="000000"/>
          <w:szCs w:val="24"/>
        </w:rPr>
        <w:t>na economia escravista encontram-se</w:t>
      </w:r>
      <w:r w:rsidR="00705261" w:rsidRPr="0085005B">
        <w:rPr>
          <w:rFonts w:cs="Times New Roman"/>
          <w:color w:val="000000"/>
          <w:szCs w:val="24"/>
        </w:rPr>
        <w:t xml:space="preserve"> fundamentalmente </w:t>
      </w:r>
      <w:r w:rsidR="00B462C5" w:rsidRPr="0085005B">
        <w:rPr>
          <w:rFonts w:cs="Times New Roman"/>
          <w:color w:val="000000"/>
          <w:szCs w:val="24"/>
        </w:rPr>
        <w:t>na agricultura</w:t>
      </w:r>
      <w:r w:rsidR="00705261" w:rsidRPr="0085005B">
        <w:rPr>
          <w:rFonts w:cs="Times New Roman"/>
          <w:color w:val="000000"/>
          <w:szCs w:val="24"/>
        </w:rPr>
        <w:t xml:space="preserve">, a produção escravista </w:t>
      </w:r>
      <w:r w:rsidR="00B462C5" w:rsidRPr="0085005B">
        <w:rPr>
          <w:rFonts w:cs="Times New Roman"/>
          <w:color w:val="000000"/>
          <w:szCs w:val="24"/>
        </w:rPr>
        <w:t xml:space="preserve">vai se voltar </w:t>
      </w:r>
      <w:r w:rsidR="00705261" w:rsidRPr="0085005B">
        <w:rPr>
          <w:rFonts w:cs="Times New Roman"/>
          <w:color w:val="000000"/>
          <w:szCs w:val="24"/>
        </w:rPr>
        <w:t xml:space="preserve">para a agricultura </w:t>
      </w:r>
      <w:r w:rsidR="00705261" w:rsidRPr="0085005B">
        <w:rPr>
          <w:rFonts w:cs="Times New Roman"/>
          <w:b/>
          <w:bCs/>
          <w:color w:val="000000"/>
          <w:szCs w:val="24"/>
        </w:rPr>
        <w:t>permanente</w:t>
      </w:r>
      <w:r w:rsidR="00705261" w:rsidRPr="0085005B">
        <w:rPr>
          <w:rFonts w:cs="Times New Roman"/>
          <w:color w:val="000000"/>
          <w:szCs w:val="24"/>
        </w:rPr>
        <w:t xml:space="preserve"> (como o café) ou </w:t>
      </w:r>
      <w:r w:rsidR="00705261" w:rsidRPr="0085005B">
        <w:rPr>
          <w:rFonts w:cs="Times New Roman"/>
          <w:b/>
          <w:bCs/>
          <w:color w:val="000000"/>
          <w:szCs w:val="24"/>
        </w:rPr>
        <w:t>semipermanente</w:t>
      </w:r>
      <w:r w:rsidR="00705261" w:rsidRPr="0085005B">
        <w:rPr>
          <w:rFonts w:cs="Times New Roman"/>
          <w:color w:val="000000"/>
          <w:szCs w:val="24"/>
        </w:rPr>
        <w:t xml:space="preserve"> </w:t>
      </w:r>
      <w:r w:rsidR="00B462C5" w:rsidRPr="0085005B">
        <w:rPr>
          <w:rFonts w:cs="Times New Roman"/>
          <w:color w:val="000000"/>
          <w:szCs w:val="24"/>
        </w:rPr>
        <w:t>(como a cana-de-açúcar e o tabaco, em que a produção especificamente agrícola impõe o beneficiamento parcial da matéria-prima no espaço rural).</w:t>
      </w:r>
      <w:r w:rsidR="00705261" w:rsidRPr="0085005B">
        <w:rPr>
          <w:rFonts w:cs="Times New Roman"/>
          <w:color w:val="000000"/>
          <w:szCs w:val="24"/>
        </w:rPr>
        <w:t xml:space="preserve"> </w:t>
      </w:r>
      <w:r w:rsidR="00B462C5" w:rsidRPr="0085005B">
        <w:rPr>
          <w:rFonts w:cs="Times New Roman"/>
          <w:color w:val="000000"/>
          <w:szCs w:val="24"/>
        </w:rPr>
        <w:t>Neste caso, a</w:t>
      </w:r>
      <w:r w:rsidR="00705261" w:rsidRPr="0085005B">
        <w:rPr>
          <w:rFonts w:cs="Times New Roman"/>
          <w:color w:val="000000"/>
          <w:szCs w:val="24"/>
        </w:rPr>
        <w:t xml:space="preserve"> produção agrícola temporária, voltada </w:t>
      </w:r>
      <w:r w:rsidR="00B462C5" w:rsidRPr="0085005B">
        <w:rPr>
          <w:rFonts w:cs="Times New Roman"/>
          <w:color w:val="000000"/>
          <w:szCs w:val="24"/>
        </w:rPr>
        <w:t xml:space="preserve">à produção </w:t>
      </w:r>
      <w:r w:rsidR="00705261" w:rsidRPr="0085005B">
        <w:rPr>
          <w:rFonts w:cs="Times New Roman"/>
          <w:color w:val="000000"/>
          <w:szCs w:val="24"/>
        </w:rPr>
        <w:t xml:space="preserve">de alimentos para o limitado </w:t>
      </w:r>
      <w:r w:rsidR="00B462C5" w:rsidRPr="0085005B">
        <w:rPr>
          <w:rFonts w:cs="Times New Roman"/>
          <w:color w:val="000000"/>
          <w:szCs w:val="24"/>
        </w:rPr>
        <w:t xml:space="preserve">e pouco rentável mercado </w:t>
      </w:r>
      <w:r w:rsidR="00B462C5" w:rsidRPr="0085005B">
        <w:rPr>
          <w:rFonts w:cs="Times New Roman"/>
          <w:color w:val="000000"/>
          <w:szCs w:val="24"/>
        </w:rPr>
        <w:lastRenderedPageBreak/>
        <w:t xml:space="preserve">interno </w:t>
      </w:r>
      <w:r w:rsidR="00705261" w:rsidRPr="0085005B">
        <w:rPr>
          <w:rFonts w:cs="Times New Roman"/>
          <w:color w:val="000000"/>
          <w:szCs w:val="24"/>
        </w:rPr>
        <w:t>é relegada</w:t>
      </w:r>
      <w:r w:rsidR="00B462C5" w:rsidRPr="0085005B">
        <w:rPr>
          <w:rFonts w:cs="Times New Roman"/>
          <w:color w:val="000000"/>
          <w:szCs w:val="24"/>
        </w:rPr>
        <w:t xml:space="preserve"> </w:t>
      </w:r>
      <w:r w:rsidR="00705261" w:rsidRPr="0085005B">
        <w:rPr>
          <w:rFonts w:cs="Times New Roman"/>
          <w:color w:val="000000"/>
          <w:szCs w:val="24"/>
        </w:rPr>
        <w:t>aos pequenos produtores</w:t>
      </w:r>
      <w:r w:rsidR="00B462C5" w:rsidRPr="0085005B">
        <w:rPr>
          <w:rFonts w:cs="Times New Roman"/>
          <w:color w:val="000000"/>
          <w:szCs w:val="24"/>
        </w:rPr>
        <w:t>, sejam meeiros, posseiros ou proprietários de pequenos lotes</w:t>
      </w:r>
      <w:r w:rsidR="00B462C5" w:rsidRPr="0085005B">
        <w:rPr>
          <w:rStyle w:val="Refdenotaderodap"/>
          <w:rFonts w:cs="Times New Roman"/>
          <w:color w:val="000000"/>
          <w:szCs w:val="24"/>
        </w:rPr>
        <w:footnoteReference w:id="8"/>
      </w:r>
      <w:r w:rsidR="00B462C5" w:rsidRPr="0085005B">
        <w:rPr>
          <w:rFonts w:cs="Times New Roman"/>
          <w:color w:val="000000"/>
          <w:szCs w:val="24"/>
        </w:rPr>
        <w:t>.</w:t>
      </w:r>
    </w:p>
    <w:p w14:paraId="5DA05BEA" w14:textId="2FE7B0E4" w:rsidR="00CD28D2" w:rsidRPr="0085005B" w:rsidRDefault="00705261" w:rsidP="004A7A55">
      <w:pPr>
        <w:ind w:firstLine="708"/>
        <w:rPr>
          <w:rFonts w:cs="Times New Roman"/>
          <w:color w:val="000000"/>
          <w:szCs w:val="24"/>
        </w:rPr>
      </w:pPr>
      <w:r w:rsidRPr="0085005B">
        <w:rPr>
          <w:rFonts w:cs="Times New Roman"/>
          <w:color w:val="000000"/>
          <w:szCs w:val="24"/>
        </w:rPr>
        <w:t>Em segundo lugar, acreditávamos que</w:t>
      </w:r>
      <w:r w:rsidR="00E33E91" w:rsidRPr="0085005B">
        <w:rPr>
          <w:rFonts w:cs="Times New Roman"/>
          <w:color w:val="000000"/>
          <w:szCs w:val="24"/>
        </w:rPr>
        <w:t xml:space="preserve">, uma vez posta uma determinada divisão do trabalho entre agricultura familiar e patronal, ela tendia a se perpetuar e aprofundar por mecanismos que são específicos do processo de especialização agrícola. Ao contrário do que usualmente se pensa, a transição de uma cultura para outra está longe de ser um processo simples na produção agrícola. É bem verdade que um agricultor que, num determinado ano produz soja, pode optar pelo milho no ano subsequente. Estas são duas culturas temporárias de verão que demandam insumos e equipamentos similares e que contam com redes de assistência técnica e comercialização igualmente similares. Mas é um equívoco extrair daí que </w:t>
      </w:r>
      <w:r w:rsidR="004839F2" w:rsidRPr="0085005B">
        <w:rPr>
          <w:rFonts w:cs="Times New Roman"/>
          <w:color w:val="000000"/>
          <w:szCs w:val="24"/>
        </w:rPr>
        <w:t xml:space="preserve">qualquer cultura </w:t>
      </w:r>
      <w:r w:rsidR="00E33E91" w:rsidRPr="0085005B">
        <w:rPr>
          <w:rFonts w:cs="Times New Roman"/>
          <w:color w:val="000000"/>
          <w:szCs w:val="24"/>
        </w:rPr>
        <w:t>agr</w:t>
      </w:r>
      <w:r w:rsidR="004839F2" w:rsidRPr="0085005B">
        <w:rPr>
          <w:rFonts w:cs="Times New Roman"/>
          <w:color w:val="000000"/>
          <w:szCs w:val="24"/>
        </w:rPr>
        <w:t xml:space="preserve">ícola </w:t>
      </w:r>
      <w:r w:rsidR="00E33E91" w:rsidRPr="0085005B">
        <w:rPr>
          <w:rFonts w:cs="Times New Roman"/>
          <w:color w:val="000000"/>
          <w:szCs w:val="24"/>
        </w:rPr>
        <w:t xml:space="preserve">é </w:t>
      </w:r>
      <w:r w:rsidR="004839F2" w:rsidRPr="0085005B">
        <w:rPr>
          <w:rFonts w:cs="Times New Roman"/>
          <w:color w:val="000000"/>
          <w:szCs w:val="24"/>
        </w:rPr>
        <w:t>caracterizada por</w:t>
      </w:r>
      <w:r w:rsidR="00E33E91" w:rsidRPr="0085005B">
        <w:rPr>
          <w:rFonts w:cs="Times New Roman"/>
          <w:color w:val="000000"/>
          <w:szCs w:val="24"/>
        </w:rPr>
        <w:t xml:space="preserve"> livre ingresso e </w:t>
      </w:r>
      <w:r w:rsidR="004839F2" w:rsidRPr="0085005B">
        <w:rPr>
          <w:rFonts w:cs="Times New Roman"/>
          <w:color w:val="000000"/>
          <w:szCs w:val="24"/>
        </w:rPr>
        <w:t xml:space="preserve">que o </w:t>
      </w:r>
      <w:r w:rsidR="00E33E91" w:rsidRPr="0085005B">
        <w:rPr>
          <w:rFonts w:cs="Times New Roman"/>
          <w:color w:val="000000"/>
          <w:szCs w:val="24"/>
        </w:rPr>
        <w:t>trânsito entre distintas culturas</w:t>
      </w:r>
      <w:r w:rsidR="004839F2" w:rsidRPr="0085005B">
        <w:rPr>
          <w:rFonts w:cs="Times New Roman"/>
          <w:color w:val="000000"/>
          <w:szCs w:val="24"/>
        </w:rPr>
        <w:t xml:space="preserve"> é uma questão de opção individual do produtor, independentemente de seu tamanho</w:t>
      </w:r>
      <w:r w:rsidR="00E33E91" w:rsidRPr="0085005B">
        <w:rPr>
          <w:rFonts w:cs="Times New Roman"/>
          <w:color w:val="000000"/>
          <w:szCs w:val="24"/>
        </w:rPr>
        <w:t xml:space="preserve">. O produtor de soja pode produzir milho no ano seguinte. Mas não pode produzir leite, uva, maçã ou suíno. Pois estas são mudanças radicais que pressupõem um conjunto de investimentos, conhecimentos técnicos e redes de distribuição completamente distintos daqueles associados à produção de cereais. </w:t>
      </w:r>
      <w:r w:rsidR="00E33E91" w:rsidRPr="0085005B">
        <w:rPr>
          <w:rFonts w:cs="Times New Roman"/>
          <w:color w:val="000000"/>
          <w:szCs w:val="24"/>
        </w:rPr>
        <w:lastRenderedPageBreak/>
        <w:t>Modificações profundas e radicais no perfil produtivo de um território não podem ser feitas por decisões individuais de um determinado produtor. A “opção” por uma atividade pressupõe a existência de redes de fornecimento de insumos, equipamentos, assistência técnica, formação rural, financiamento, aquisição e distribuição</w:t>
      </w:r>
      <w:r w:rsidR="00CD28D2" w:rsidRPr="0085005B">
        <w:rPr>
          <w:rFonts w:cs="Times New Roman"/>
          <w:color w:val="000000"/>
          <w:szCs w:val="24"/>
        </w:rPr>
        <w:t xml:space="preserve">. E estas redes são construídas socialmente </w:t>
      </w:r>
      <w:r w:rsidR="004839F2" w:rsidRPr="0085005B">
        <w:rPr>
          <w:rFonts w:cs="Times New Roman"/>
          <w:color w:val="000000"/>
          <w:szCs w:val="24"/>
        </w:rPr>
        <w:t>ao longo do tempo</w:t>
      </w:r>
      <w:r w:rsidR="00CD28D2" w:rsidRPr="0085005B">
        <w:rPr>
          <w:rFonts w:cs="Times New Roman"/>
          <w:color w:val="000000"/>
          <w:szCs w:val="24"/>
        </w:rPr>
        <w:t xml:space="preserve">, envolvendo consórcios formais e informais de agentes públicos e privados. </w:t>
      </w:r>
    </w:p>
    <w:p w14:paraId="3B5D7675" w14:textId="2D2C8A6E" w:rsidR="00776D42" w:rsidRPr="0085005B" w:rsidRDefault="00CD28D2" w:rsidP="008863D5">
      <w:pPr>
        <w:ind w:firstLine="708"/>
        <w:rPr>
          <w:rFonts w:cs="Times New Roman"/>
          <w:color w:val="000000"/>
          <w:szCs w:val="24"/>
        </w:rPr>
      </w:pPr>
      <w:r w:rsidRPr="0085005B">
        <w:rPr>
          <w:rFonts w:cs="Times New Roman"/>
          <w:color w:val="000000"/>
          <w:szCs w:val="24"/>
        </w:rPr>
        <w:t xml:space="preserve">Por fim, e como desdobramento da hipótese anterior, </w:t>
      </w:r>
      <w:r w:rsidR="004839F2" w:rsidRPr="0085005B">
        <w:rPr>
          <w:rFonts w:cs="Times New Roman"/>
          <w:color w:val="000000"/>
          <w:szCs w:val="24"/>
        </w:rPr>
        <w:t xml:space="preserve">entendíamos que a opção de uma região por uma determinada especialização produtiva era marcada por </w:t>
      </w:r>
      <w:r w:rsidR="004839F2" w:rsidRPr="0085005B">
        <w:rPr>
          <w:rFonts w:cs="Times New Roman"/>
          <w:b/>
          <w:bCs/>
          <w:color w:val="000000"/>
          <w:szCs w:val="24"/>
        </w:rPr>
        <w:t>grande</w:t>
      </w:r>
      <w:r w:rsidR="004839F2" w:rsidRPr="0085005B">
        <w:rPr>
          <w:rFonts w:cs="Times New Roman"/>
          <w:color w:val="000000"/>
          <w:szCs w:val="24"/>
        </w:rPr>
        <w:t xml:space="preserve"> </w:t>
      </w:r>
      <w:r w:rsidR="004839F2" w:rsidRPr="0085005B">
        <w:rPr>
          <w:rFonts w:cs="Times New Roman"/>
          <w:b/>
          <w:bCs/>
          <w:color w:val="000000"/>
          <w:szCs w:val="24"/>
        </w:rPr>
        <w:t>inércia</w:t>
      </w:r>
      <w:r w:rsidR="004839F2" w:rsidRPr="0085005B">
        <w:rPr>
          <w:rFonts w:cs="Times New Roman"/>
          <w:color w:val="000000"/>
          <w:szCs w:val="24"/>
        </w:rPr>
        <w:t>: uma vez posta em uma determinada trajetória de especialização, a região teria grande dificuldade em alter</w:t>
      </w:r>
      <w:r w:rsidR="008863D5" w:rsidRPr="0085005B">
        <w:rPr>
          <w:rFonts w:cs="Times New Roman"/>
          <w:color w:val="000000"/>
          <w:szCs w:val="24"/>
        </w:rPr>
        <w:t>ar este rumo e mover-se de um determinado padrão de especialização para outro</w:t>
      </w:r>
      <w:r w:rsidR="004839F2" w:rsidRPr="0085005B">
        <w:rPr>
          <w:rFonts w:cs="Times New Roman"/>
          <w:color w:val="000000"/>
          <w:szCs w:val="24"/>
        </w:rPr>
        <w:t xml:space="preserve">. </w:t>
      </w:r>
      <w:r w:rsidR="008863D5" w:rsidRPr="0085005B">
        <w:rPr>
          <w:rFonts w:cs="Times New Roman"/>
          <w:color w:val="000000"/>
          <w:szCs w:val="24"/>
        </w:rPr>
        <w:t>Uma tal transição teria que ser planejada e organizada, seja pelo Estado (via incentivos fiscais, apoio e financiamento aos distintos elos da nova cadeia de valor), seja por agentes civis</w:t>
      </w:r>
      <w:r w:rsidR="005D274D" w:rsidRPr="0085005B">
        <w:rPr>
          <w:rFonts w:cs="Times New Roman"/>
          <w:color w:val="000000"/>
          <w:szCs w:val="24"/>
        </w:rPr>
        <w:t xml:space="preserve"> </w:t>
      </w:r>
      <w:r w:rsidR="008863D5" w:rsidRPr="0085005B">
        <w:rPr>
          <w:rFonts w:cs="Times New Roman"/>
          <w:color w:val="000000"/>
          <w:szCs w:val="24"/>
        </w:rPr>
        <w:t>com grande capilaridade e capacidade de mobilização dos distintos elos produtivos: da oferta de insumos ao processamento e comercialização do produto final</w:t>
      </w:r>
      <w:r w:rsidR="005D274D" w:rsidRPr="0085005B">
        <w:rPr>
          <w:rStyle w:val="Refdenotaderodap"/>
          <w:rFonts w:cs="Times New Roman"/>
          <w:color w:val="000000"/>
          <w:szCs w:val="24"/>
        </w:rPr>
        <w:footnoteReference w:id="9"/>
      </w:r>
      <w:r w:rsidR="008863D5" w:rsidRPr="0085005B">
        <w:rPr>
          <w:rFonts w:cs="Times New Roman"/>
          <w:color w:val="000000"/>
          <w:szCs w:val="24"/>
        </w:rPr>
        <w:t xml:space="preserve">. </w:t>
      </w:r>
      <w:r w:rsidR="004839F2" w:rsidRPr="0085005B">
        <w:rPr>
          <w:rFonts w:cs="Times New Roman"/>
          <w:color w:val="000000"/>
          <w:szCs w:val="24"/>
        </w:rPr>
        <w:t>Na verdade</w:t>
      </w:r>
      <w:r w:rsidR="00F35839" w:rsidRPr="0085005B">
        <w:rPr>
          <w:rFonts w:cs="Times New Roman"/>
          <w:color w:val="000000"/>
          <w:szCs w:val="24"/>
        </w:rPr>
        <w:t xml:space="preserve">, a trajetória </w:t>
      </w:r>
      <w:r w:rsidR="008863D5" w:rsidRPr="0085005B">
        <w:rPr>
          <w:rFonts w:cs="Times New Roman"/>
          <w:color w:val="000000"/>
          <w:szCs w:val="24"/>
        </w:rPr>
        <w:t xml:space="preserve">de especialização até </w:t>
      </w:r>
      <w:r w:rsidR="00F35839" w:rsidRPr="0085005B">
        <w:rPr>
          <w:rFonts w:cs="Times New Roman"/>
          <w:color w:val="000000"/>
          <w:szCs w:val="24"/>
        </w:rPr>
        <w:t xml:space="preserve">poderia ser alterada </w:t>
      </w:r>
      <w:r w:rsidR="00F35839" w:rsidRPr="0085005B">
        <w:rPr>
          <w:rFonts w:cs="Times New Roman"/>
          <w:b/>
          <w:bCs/>
          <w:color w:val="000000"/>
          <w:szCs w:val="24"/>
        </w:rPr>
        <w:t>por</w:t>
      </w:r>
      <w:r w:rsidR="00F35839" w:rsidRPr="0085005B">
        <w:rPr>
          <w:rFonts w:cs="Times New Roman"/>
          <w:color w:val="000000"/>
          <w:szCs w:val="24"/>
        </w:rPr>
        <w:t xml:space="preserve"> </w:t>
      </w:r>
      <w:r w:rsidR="00F35839" w:rsidRPr="0085005B">
        <w:rPr>
          <w:rFonts w:cs="Times New Roman"/>
          <w:b/>
          <w:bCs/>
          <w:color w:val="000000"/>
          <w:szCs w:val="24"/>
        </w:rPr>
        <w:t>determinações</w:t>
      </w:r>
      <w:r w:rsidR="00F35839" w:rsidRPr="0085005B">
        <w:rPr>
          <w:rFonts w:cs="Times New Roman"/>
          <w:color w:val="000000"/>
          <w:szCs w:val="24"/>
        </w:rPr>
        <w:t xml:space="preserve"> </w:t>
      </w:r>
      <w:r w:rsidR="00F35839" w:rsidRPr="0085005B">
        <w:rPr>
          <w:rFonts w:cs="Times New Roman"/>
          <w:b/>
          <w:bCs/>
          <w:color w:val="000000"/>
          <w:szCs w:val="24"/>
        </w:rPr>
        <w:t>de</w:t>
      </w:r>
      <w:r w:rsidR="00F35839" w:rsidRPr="0085005B">
        <w:rPr>
          <w:rFonts w:cs="Times New Roman"/>
          <w:color w:val="000000"/>
          <w:szCs w:val="24"/>
        </w:rPr>
        <w:t xml:space="preserve"> </w:t>
      </w:r>
      <w:r w:rsidR="00F35839" w:rsidRPr="0085005B">
        <w:rPr>
          <w:rFonts w:cs="Times New Roman"/>
          <w:b/>
          <w:bCs/>
          <w:color w:val="000000"/>
          <w:szCs w:val="24"/>
        </w:rPr>
        <w:t>mercado</w:t>
      </w:r>
      <w:r w:rsidR="000D5973" w:rsidRPr="0085005B">
        <w:rPr>
          <w:rFonts w:cs="Times New Roman"/>
          <w:color w:val="000000"/>
          <w:szCs w:val="24"/>
        </w:rPr>
        <w:t xml:space="preserve">, </w:t>
      </w:r>
      <w:r w:rsidR="00F35839" w:rsidRPr="0085005B">
        <w:rPr>
          <w:rFonts w:cs="Times New Roman"/>
          <w:color w:val="000000"/>
          <w:szCs w:val="24"/>
        </w:rPr>
        <w:t>vale dizer, sem planejamento e interferência de agentes com poder hierárquico</w:t>
      </w:r>
      <w:r w:rsidR="000D5973" w:rsidRPr="0085005B">
        <w:rPr>
          <w:rFonts w:cs="Times New Roman"/>
          <w:color w:val="000000"/>
          <w:szCs w:val="24"/>
        </w:rPr>
        <w:t>. Mas somente</w:t>
      </w:r>
      <w:r w:rsidR="00F35839" w:rsidRPr="0085005B">
        <w:rPr>
          <w:rFonts w:cs="Times New Roman"/>
          <w:color w:val="000000"/>
          <w:szCs w:val="24"/>
        </w:rPr>
        <w:t xml:space="preserve"> se a rentabilidade da especialização inicial fosse inferior àquela gerada por uma alternativa para a qual fosse possível transitar </w:t>
      </w:r>
      <w:r w:rsidR="00F35839" w:rsidRPr="0085005B">
        <w:rPr>
          <w:rFonts w:cs="Times New Roman"/>
          <w:b/>
          <w:bCs/>
          <w:color w:val="000000"/>
          <w:szCs w:val="24"/>
        </w:rPr>
        <w:t xml:space="preserve">sem investimentos </w:t>
      </w:r>
      <w:r w:rsidR="000D5973" w:rsidRPr="0085005B">
        <w:rPr>
          <w:rFonts w:cs="Times New Roman"/>
          <w:b/>
          <w:bCs/>
          <w:color w:val="000000"/>
          <w:szCs w:val="24"/>
        </w:rPr>
        <w:t xml:space="preserve">pesados e </w:t>
      </w:r>
      <w:r w:rsidR="00F35839" w:rsidRPr="0085005B">
        <w:rPr>
          <w:rFonts w:cs="Times New Roman"/>
          <w:b/>
          <w:bCs/>
          <w:color w:val="000000"/>
          <w:szCs w:val="24"/>
        </w:rPr>
        <w:t>arriscados</w:t>
      </w:r>
      <w:r w:rsidR="00F35839" w:rsidRPr="0085005B">
        <w:rPr>
          <w:rFonts w:cs="Times New Roman"/>
          <w:color w:val="000000"/>
          <w:szCs w:val="24"/>
        </w:rPr>
        <w:t xml:space="preserve">. Não bastaria identificar alternativas de maior rentabilidade </w:t>
      </w:r>
      <w:r w:rsidR="00F35839" w:rsidRPr="0085005B">
        <w:rPr>
          <w:rFonts w:cs="Times New Roman"/>
          <w:b/>
          <w:bCs/>
          <w:color w:val="000000"/>
          <w:szCs w:val="24"/>
        </w:rPr>
        <w:t>potencial</w:t>
      </w:r>
      <w:r w:rsidR="00F35839" w:rsidRPr="0085005B">
        <w:rPr>
          <w:rFonts w:cs="Times New Roman"/>
          <w:color w:val="000000"/>
          <w:szCs w:val="24"/>
        </w:rPr>
        <w:t xml:space="preserve">: se os ganhos de rentabilidade </w:t>
      </w:r>
      <w:r w:rsidR="002375E6" w:rsidRPr="0085005B">
        <w:rPr>
          <w:rFonts w:cs="Times New Roman"/>
          <w:color w:val="000000"/>
          <w:szCs w:val="24"/>
        </w:rPr>
        <w:t xml:space="preserve">associados à transição para a nova atividade dependessem de rearranjos globais nas </w:t>
      </w:r>
      <w:r w:rsidR="002375E6" w:rsidRPr="0085005B">
        <w:rPr>
          <w:rFonts w:cs="Times New Roman"/>
          <w:b/>
          <w:bCs/>
          <w:color w:val="000000"/>
          <w:szCs w:val="24"/>
        </w:rPr>
        <w:t>redes</w:t>
      </w:r>
      <w:r w:rsidR="002375E6" w:rsidRPr="0085005B">
        <w:rPr>
          <w:rFonts w:cs="Times New Roman"/>
          <w:color w:val="000000"/>
          <w:szCs w:val="24"/>
        </w:rPr>
        <w:t xml:space="preserve"> de fornecimento de insumos, assistência técnica aquisição, distribuição e beneficiamento, a transição </w:t>
      </w:r>
      <w:r w:rsidR="002375E6" w:rsidRPr="0085005B">
        <w:rPr>
          <w:rFonts w:cs="Times New Roman"/>
          <w:b/>
          <w:bCs/>
          <w:color w:val="000000"/>
          <w:szCs w:val="24"/>
        </w:rPr>
        <w:t>não</w:t>
      </w:r>
      <w:r w:rsidR="002375E6" w:rsidRPr="0085005B">
        <w:rPr>
          <w:rFonts w:cs="Times New Roman"/>
          <w:color w:val="000000"/>
          <w:szCs w:val="24"/>
        </w:rPr>
        <w:t xml:space="preserve"> se daria</w:t>
      </w:r>
      <w:r w:rsidR="000D5973" w:rsidRPr="0085005B">
        <w:rPr>
          <w:rFonts w:cs="Times New Roman"/>
          <w:color w:val="000000"/>
          <w:szCs w:val="24"/>
        </w:rPr>
        <w:t xml:space="preserve"> sem o apoio e o estímulo de algum agente com poder de viabilizar a construção da nova rede</w:t>
      </w:r>
      <w:r w:rsidR="002375E6" w:rsidRPr="0085005B">
        <w:rPr>
          <w:rFonts w:cs="Times New Roman"/>
          <w:color w:val="000000"/>
          <w:szCs w:val="24"/>
        </w:rPr>
        <w:t xml:space="preserve">. </w:t>
      </w:r>
    </w:p>
    <w:p w14:paraId="41C73007" w14:textId="77777777" w:rsidR="00687C78" w:rsidRDefault="00BA3E9B" w:rsidP="009D15AB">
      <w:pPr>
        <w:ind w:firstLine="708"/>
        <w:rPr>
          <w:rFonts w:cs="Times New Roman"/>
          <w:color w:val="000000"/>
          <w:szCs w:val="24"/>
        </w:rPr>
      </w:pPr>
      <w:r>
        <w:rPr>
          <w:rFonts w:cs="Times New Roman"/>
          <w:color w:val="000000"/>
          <w:szCs w:val="24"/>
        </w:rPr>
        <w:lastRenderedPageBreak/>
        <w:t xml:space="preserve">Tal como observamos acima, </w:t>
      </w:r>
      <w:r w:rsidRPr="00BA3E9B">
        <w:rPr>
          <w:rFonts w:cs="Times New Roman"/>
          <w:b/>
          <w:bCs/>
          <w:color w:val="000000"/>
          <w:szCs w:val="24"/>
        </w:rPr>
        <w:t xml:space="preserve">a pesquisa </w:t>
      </w:r>
      <w:r>
        <w:rPr>
          <w:rFonts w:cs="Times New Roman"/>
          <w:b/>
          <w:bCs/>
          <w:color w:val="000000"/>
          <w:szCs w:val="24"/>
        </w:rPr>
        <w:t xml:space="preserve">buscava ir além de um diagnóstico acadêmico e, desde o início, tinha por intenção contribuir para a construção de políticas públicas de apoio à agricultura familiar. </w:t>
      </w:r>
      <w:r>
        <w:rPr>
          <w:rFonts w:cs="Times New Roman"/>
          <w:color w:val="000000"/>
          <w:szCs w:val="24"/>
        </w:rPr>
        <w:t xml:space="preserve">Isto nos levou a entrevistar </w:t>
      </w:r>
      <w:r w:rsidR="00BD362A">
        <w:rPr>
          <w:rFonts w:cs="Times New Roman"/>
          <w:color w:val="000000"/>
          <w:szCs w:val="24"/>
        </w:rPr>
        <w:t xml:space="preserve">técnicos de agências de planejamento de desenvolvimento agrícola e agrário </w:t>
      </w:r>
      <w:r>
        <w:rPr>
          <w:rFonts w:cs="Times New Roman"/>
          <w:color w:val="000000"/>
          <w:szCs w:val="24"/>
        </w:rPr>
        <w:t xml:space="preserve">(em especial, vinculados ao Ministério do Desenvolvimento Agrário) com vistas a perceber a compreensão </w:t>
      </w:r>
      <w:r w:rsidR="00BD362A">
        <w:rPr>
          <w:rFonts w:cs="Times New Roman"/>
          <w:color w:val="000000"/>
          <w:szCs w:val="24"/>
        </w:rPr>
        <w:t xml:space="preserve">dos mesmos da problemática que nos colocávamos. E o retorno foi muito elucidativo. Como regra geral, eles compreendiam a pertinência da pesquisa e a consistência de suas hipóteses. Mas introduziram uma questão nova: a rentabilidade agrícola é definida, em grande parte, pela demanda sobre o produto agropecuário. De sorte que uma cultura cuja demanda interna e externa cresce a taxas superiores à expansão da oferta – como, por exemplo, a soja – pode gerar uma rentabilidade maior do que culturas mais consistentes com a disponibilidade relativa dos fatores na agricultura familiar e patronal. Como recomendar a um agricultor familiar que ele volte a se especializar na fruticultura – produzindo, por exemplo, pêssego para conserva ou uva para vinho e suco -quando a concorrência globalizada impõe a paulatina destruição dos segmentos conserveiro e vitivinícola nacionais? Como desestimular a produção de soja </w:t>
      </w:r>
      <w:r w:rsidR="00687C78">
        <w:rPr>
          <w:rFonts w:cs="Times New Roman"/>
          <w:color w:val="000000"/>
          <w:szCs w:val="24"/>
        </w:rPr>
        <w:t xml:space="preserve">por parte do agricultor familiar </w:t>
      </w:r>
      <w:r w:rsidR="00BD362A">
        <w:rPr>
          <w:rFonts w:cs="Times New Roman"/>
          <w:color w:val="000000"/>
          <w:szCs w:val="24"/>
        </w:rPr>
        <w:t xml:space="preserve">se este é o produto mais demandado pela </w:t>
      </w:r>
      <w:r w:rsidR="00687C78">
        <w:rPr>
          <w:rFonts w:cs="Times New Roman"/>
          <w:color w:val="000000"/>
          <w:szCs w:val="24"/>
        </w:rPr>
        <w:t>nova locomotiva do mundo – a C</w:t>
      </w:r>
      <w:r w:rsidR="00BD362A">
        <w:rPr>
          <w:rFonts w:cs="Times New Roman"/>
          <w:color w:val="000000"/>
          <w:szCs w:val="24"/>
        </w:rPr>
        <w:t xml:space="preserve">hina </w:t>
      </w:r>
      <w:r w:rsidR="00687C78">
        <w:rPr>
          <w:rFonts w:cs="Times New Roman"/>
          <w:color w:val="000000"/>
          <w:szCs w:val="24"/>
        </w:rPr>
        <w:t xml:space="preserve">- </w:t>
      </w:r>
      <w:r w:rsidR="00BD362A">
        <w:rPr>
          <w:rFonts w:cs="Times New Roman"/>
          <w:color w:val="000000"/>
          <w:szCs w:val="24"/>
        </w:rPr>
        <w:t xml:space="preserve">e cujo valor não cessa de subir na </w:t>
      </w:r>
      <w:r w:rsidR="00687C78">
        <w:rPr>
          <w:rFonts w:cs="Times New Roman"/>
          <w:color w:val="000000"/>
          <w:szCs w:val="24"/>
        </w:rPr>
        <w:t xml:space="preserve">Bolsa de Chicago? </w:t>
      </w:r>
    </w:p>
    <w:p w14:paraId="54B625C0" w14:textId="588EA030" w:rsidR="00BA3E9B" w:rsidRDefault="00687C78" w:rsidP="007C0152">
      <w:pPr>
        <w:ind w:firstLine="708"/>
        <w:rPr>
          <w:rFonts w:cs="Times New Roman"/>
          <w:color w:val="000000"/>
          <w:szCs w:val="24"/>
        </w:rPr>
      </w:pPr>
      <w:r>
        <w:rPr>
          <w:rFonts w:cs="Times New Roman"/>
          <w:color w:val="000000"/>
          <w:szCs w:val="24"/>
        </w:rPr>
        <w:t xml:space="preserve">As questões postas pelos técnicos em planejamento do Ministério do Desenvolvimento Agrário nos fizeram perceber que a especialização agropecuária responde a uma dinâmica de demanda e a um padrão de adequação temporal </w:t>
      </w:r>
      <w:r w:rsidR="007C0152">
        <w:rPr>
          <w:rFonts w:cs="Times New Roman"/>
          <w:color w:val="000000"/>
          <w:szCs w:val="24"/>
        </w:rPr>
        <w:t>muito peculiar</w:t>
      </w:r>
      <w:r>
        <w:rPr>
          <w:rStyle w:val="Refdenotaderodap"/>
          <w:rFonts w:cs="Times New Roman"/>
          <w:color w:val="000000"/>
          <w:szCs w:val="24"/>
        </w:rPr>
        <w:footnoteReference w:id="10"/>
      </w:r>
      <w:r w:rsidR="007C0152">
        <w:rPr>
          <w:rFonts w:cs="Times New Roman"/>
          <w:color w:val="000000"/>
          <w:szCs w:val="24"/>
        </w:rPr>
        <w:t xml:space="preserve">.  A plena conscientização deste problema não afetou os fundamentos da pesquisa, nem alterou suas hipóteses essenciais. Pelo contrário: veio a comprovar a validade da terceira hipótese acima – associada à questão da inércia – e a explicar a </w:t>
      </w:r>
      <w:r w:rsidR="007C0152">
        <w:rPr>
          <w:rFonts w:cs="Times New Roman"/>
          <w:color w:val="000000"/>
          <w:szCs w:val="24"/>
        </w:rPr>
        <w:lastRenderedPageBreak/>
        <w:t xml:space="preserve">dificuldade encontrada pelos agentes públicos de realizar as ações que seriam necessárias para alterar uma determinada trajetória definida pelo mercado (segunda hipótese acima). Começamos a ter uma dimensão mais clara da dimensão </w:t>
      </w:r>
      <w:r w:rsidR="007C0152" w:rsidRPr="007C0152">
        <w:rPr>
          <w:rFonts w:cs="Times New Roman"/>
          <w:b/>
          <w:bCs/>
          <w:color w:val="000000"/>
          <w:szCs w:val="24"/>
        </w:rPr>
        <w:t>política</w:t>
      </w:r>
      <w:r w:rsidR="007C0152">
        <w:rPr>
          <w:rFonts w:cs="Times New Roman"/>
          <w:color w:val="000000"/>
          <w:szCs w:val="24"/>
        </w:rPr>
        <w:t xml:space="preserve"> das dificuldades: qualquer eventual indução, por parte do Estado, da adoção desta ou daquela especialização, poderia reverter em prejuízo para os agricultores familiares e, por extensão, em prejuízo político para as lideranças responsáveis pela sinalização equivocada (em termos de rentabilidade futura)</w:t>
      </w:r>
      <w:r w:rsidR="007C0152">
        <w:rPr>
          <w:rStyle w:val="Refdenotaderodap"/>
          <w:rFonts w:cs="Times New Roman"/>
          <w:color w:val="000000"/>
          <w:szCs w:val="24"/>
        </w:rPr>
        <w:footnoteReference w:id="11"/>
      </w:r>
      <w:r w:rsidR="007C0152">
        <w:rPr>
          <w:rFonts w:cs="Times New Roman"/>
          <w:color w:val="000000"/>
          <w:szCs w:val="24"/>
        </w:rPr>
        <w:t xml:space="preserve">. </w:t>
      </w:r>
    </w:p>
    <w:p w14:paraId="58D60B54" w14:textId="7545A0BC" w:rsidR="002C780B" w:rsidRPr="0085005B" w:rsidRDefault="007C0152" w:rsidP="00A86786">
      <w:pPr>
        <w:ind w:firstLine="708"/>
        <w:rPr>
          <w:rFonts w:cs="Times New Roman"/>
          <w:color w:val="000000"/>
          <w:szCs w:val="24"/>
        </w:rPr>
      </w:pPr>
      <w:r>
        <w:rPr>
          <w:rFonts w:cs="Times New Roman"/>
          <w:color w:val="000000"/>
          <w:szCs w:val="24"/>
        </w:rPr>
        <w:t xml:space="preserve">Mas a questão da peculiaridade da precificação, rentabilidade e ajustamentos entre oferta e demanda da produção agropecuária não foi a única questão teórica que nos </w:t>
      </w:r>
      <w:r w:rsidR="00A86786">
        <w:rPr>
          <w:rFonts w:cs="Times New Roman"/>
          <w:color w:val="000000"/>
          <w:szCs w:val="24"/>
        </w:rPr>
        <w:t xml:space="preserve">ocupou no ano de 2010. </w:t>
      </w:r>
      <w:r>
        <w:rPr>
          <w:rFonts w:cs="Times New Roman"/>
          <w:color w:val="000000"/>
          <w:szCs w:val="24"/>
        </w:rPr>
        <w:t xml:space="preserve"> </w:t>
      </w:r>
      <w:r w:rsidR="00A86786">
        <w:rPr>
          <w:rFonts w:cs="Times New Roman"/>
          <w:color w:val="000000"/>
          <w:szCs w:val="24"/>
        </w:rPr>
        <w:t>Logo emergiu um outro questionamento em torno da</w:t>
      </w:r>
      <w:r w:rsidR="009D15AB" w:rsidRPr="0085005B">
        <w:rPr>
          <w:rFonts w:cs="Times New Roman"/>
          <w:color w:val="000000"/>
          <w:szCs w:val="24"/>
        </w:rPr>
        <w:t xml:space="preserve"> consistência </w:t>
      </w:r>
      <w:r w:rsidR="00A86786">
        <w:rPr>
          <w:rFonts w:cs="Times New Roman"/>
          <w:color w:val="000000"/>
          <w:szCs w:val="24"/>
        </w:rPr>
        <w:t xml:space="preserve">da </w:t>
      </w:r>
      <w:r w:rsidR="009D15AB" w:rsidRPr="0085005B">
        <w:rPr>
          <w:rFonts w:cs="Times New Roman"/>
          <w:color w:val="000000"/>
          <w:szCs w:val="24"/>
        </w:rPr>
        <w:t>diferencia</w:t>
      </w:r>
      <w:r w:rsidR="00A86786">
        <w:rPr>
          <w:rFonts w:cs="Times New Roman"/>
          <w:color w:val="000000"/>
          <w:szCs w:val="24"/>
        </w:rPr>
        <w:t>ção</w:t>
      </w:r>
      <w:r w:rsidR="009D15AB" w:rsidRPr="0085005B">
        <w:rPr>
          <w:rFonts w:cs="Times New Roman"/>
          <w:color w:val="000000"/>
          <w:szCs w:val="24"/>
        </w:rPr>
        <w:t xml:space="preserve"> </w:t>
      </w:r>
      <w:r w:rsidR="00A86786">
        <w:rPr>
          <w:rFonts w:cs="Times New Roman"/>
          <w:color w:val="000000"/>
          <w:szCs w:val="24"/>
        </w:rPr>
        <w:t>d</w:t>
      </w:r>
      <w:r w:rsidR="00776D42" w:rsidRPr="0085005B">
        <w:rPr>
          <w:rFonts w:cs="Times New Roman"/>
          <w:color w:val="000000"/>
          <w:szCs w:val="24"/>
        </w:rPr>
        <w:t xml:space="preserve">a agricultura familiar e a agricultura patronal </w:t>
      </w:r>
      <w:r w:rsidR="00776D42" w:rsidRPr="0085005B">
        <w:rPr>
          <w:rFonts w:cs="Times New Roman"/>
          <w:b/>
          <w:bCs/>
          <w:color w:val="000000"/>
          <w:szCs w:val="24"/>
        </w:rPr>
        <w:t xml:space="preserve">a partir da disponibilidade relativa de </w:t>
      </w:r>
      <w:r w:rsidR="004808BA" w:rsidRPr="0085005B">
        <w:rPr>
          <w:rFonts w:cs="Times New Roman"/>
          <w:b/>
          <w:bCs/>
          <w:color w:val="000000"/>
          <w:szCs w:val="24"/>
        </w:rPr>
        <w:t>“fatores de produção”</w:t>
      </w:r>
      <w:r w:rsidR="00776D42" w:rsidRPr="0085005B">
        <w:rPr>
          <w:rFonts w:cs="Times New Roman"/>
          <w:color w:val="000000"/>
          <w:szCs w:val="24"/>
        </w:rPr>
        <w:t>.</w:t>
      </w:r>
      <w:r w:rsidR="009D15AB" w:rsidRPr="0085005B">
        <w:rPr>
          <w:rFonts w:cs="Times New Roman"/>
          <w:color w:val="000000"/>
          <w:szCs w:val="24"/>
        </w:rPr>
        <w:t xml:space="preserve"> Em nossas hipóteses originais, partíamos do princípio de que </w:t>
      </w:r>
      <w:r w:rsidR="00776D42" w:rsidRPr="0085005B">
        <w:rPr>
          <w:rFonts w:cs="Times New Roman"/>
          <w:color w:val="000000"/>
          <w:szCs w:val="24"/>
        </w:rPr>
        <w:t>a agricultura familiar contaria com uma disponibilidade relativa maior de “fator trabalho”</w:t>
      </w:r>
      <w:r w:rsidR="009D15AB" w:rsidRPr="0085005B">
        <w:rPr>
          <w:rFonts w:cs="Times New Roman"/>
          <w:color w:val="000000"/>
          <w:szCs w:val="24"/>
        </w:rPr>
        <w:t xml:space="preserve"> </w:t>
      </w:r>
      <w:r w:rsidR="009D15AB" w:rsidRPr="0085005B">
        <w:rPr>
          <w:rFonts w:cs="Times New Roman"/>
          <w:i/>
          <w:iCs/>
          <w:color w:val="000000"/>
          <w:szCs w:val="24"/>
        </w:rPr>
        <w:t>vis-à-vis</w:t>
      </w:r>
      <w:r w:rsidR="00776D42" w:rsidRPr="0085005B">
        <w:rPr>
          <w:rFonts w:cs="Times New Roman"/>
          <w:color w:val="000000"/>
          <w:szCs w:val="24"/>
        </w:rPr>
        <w:t xml:space="preserve"> a agricultura </w:t>
      </w:r>
      <w:r w:rsidR="009D15AB" w:rsidRPr="0085005B">
        <w:rPr>
          <w:rFonts w:cs="Times New Roman"/>
          <w:color w:val="000000"/>
          <w:szCs w:val="24"/>
        </w:rPr>
        <w:t>patronal-</w:t>
      </w:r>
      <w:r w:rsidR="00776D42" w:rsidRPr="0085005B">
        <w:rPr>
          <w:rFonts w:cs="Times New Roman"/>
          <w:color w:val="000000"/>
          <w:szCs w:val="24"/>
        </w:rPr>
        <w:t>capitalista</w:t>
      </w:r>
      <w:r w:rsidR="009D15AB" w:rsidRPr="0085005B">
        <w:rPr>
          <w:rFonts w:cs="Times New Roman"/>
          <w:color w:val="000000"/>
          <w:szCs w:val="24"/>
        </w:rPr>
        <w:t xml:space="preserve">, que </w:t>
      </w:r>
      <w:r w:rsidR="00776D42" w:rsidRPr="0085005B">
        <w:rPr>
          <w:rFonts w:cs="Times New Roman"/>
          <w:color w:val="000000"/>
          <w:szCs w:val="24"/>
        </w:rPr>
        <w:t>contaria com uma disponibilidade maior de “fator terra”. Mas</w:t>
      </w:r>
      <w:r w:rsidR="009D15AB" w:rsidRPr="0085005B">
        <w:rPr>
          <w:rFonts w:cs="Times New Roman"/>
          <w:color w:val="000000"/>
          <w:szCs w:val="24"/>
        </w:rPr>
        <w:t xml:space="preserve"> logo emergiu a questão de</w:t>
      </w:r>
      <w:r w:rsidR="00776D42" w:rsidRPr="0085005B">
        <w:rPr>
          <w:rFonts w:cs="Times New Roman"/>
          <w:color w:val="000000"/>
          <w:szCs w:val="24"/>
        </w:rPr>
        <w:t xml:space="preserve"> como caracterizar e imputar a disponibilidade relativa de “fator capital”? Mais exatamente: como os sistemas de financiamento à agricultura brasileira </w:t>
      </w:r>
      <w:r w:rsidR="004808BA" w:rsidRPr="0085005B">
        <w:rPr>
          <w:rFonts w:cs="Times New Roman"/>
          <w:color w:val="000000"/>
          <w:szCs w:val="24"/>
        </w:rPr>
        <w:t xml:space="preserve">- </w:t>
      </w:r>
      <w:r w:rsidR="00776D42" w:rsidRPr="0085005B">
        <w:rPr>
          <w:rFonts w:cs="Times New Roman"/>
          <w:color w:val="000000"/>
          <w:szCs w:val="24"/>
        </w:rPr>
        <w:t>em especial</w:t>
      </w:r>
      <w:r w:rsidR="004808BA" w:rsidRPr="0085005B">
        <w:rPr>
          <w:rFonts w:cs="Times New Roman"/>
          <w:color w:val="000000"/>
          <w:szCs w:val="24"/>
        </w:rPr>
        <w:t>, o</w:t>
      </w:r>
      <w:r w:rsidR="00776D42" w:rsidRPr="0085005B">
        <w:rPr>
          <w:rFonts w:cs="Times New Roman"/>
          <w:color w:val="000000"/>
          <w:szCs w:val="24"/>
        </w:rPr>
        <w:t xml:space="preserve"> Pronaf-Investimento </w:t>
      </w:r>
      <w:r w:rsidR="004808BA" w:rsidRPr="0085005B">
        <w:rPr>
          <w:rFonts w:cs="Times New Roman"/>
          <w:color w:val="000000"/>
          <w:szCs w:val="24"/>
        </w:rPr>
        <w:t xml:space="preserve">– </w:t>
      </w:r>
      <w:r w:rsidR="00776D42" w:rsidRPr="0085005B">
        <w:rPr>
          <w:rFonts w:cs="Times New Roman"/>
          <w:color w:val="000000"/>
          <w:szCs w:val="24"/>
        </w:rPr>
        <w:t>afeta</w:t>
      </w:r>
      <w:r w:rsidR="004808BA" w:rsidRPr="0085005B">
        <w:rPr>
          <w:rFonts w:cs="Times New Roman"/>
          <w:color w:val="000000"/>
          <w:szCs w:val="24"/>
        </w:rPr>
        <w:t>va</w:t>
      </w:r>
      <w:r w:rsidR="00776D42" w:rsidRPr="0085005B">
        <w:rPr>
          <w:rFonts w:cs="Times New Roman"/>
          <w:color w:val="000000"/>
          <w:szCs w:val="24"/>
        </w:rPr>
        <w:t xml:space="preserve">m a disponibilidade relativa de capital entre os distintos segmentos da agricultura nacional? Além disso, </w:t>
      </w:r>
      <w:r w:rsidR="009D15AB" w:rsidRPr="0085005B">
        <w:rPr>
          <w:rFonts w:cs="Times New Roman"/>
          <w:color w:val="000000"/>
          <w:szCs w:val="24"/>
        </w:rPr>
        <w:t xml:space="preserve">um outro questionamento se impôs: até que ponto é consistente </w:t>
      </w:r>
      <w:r w:rsidR="00776D42" w:rsidRPr="0085005B">
        <w:rPr>
          <w:rFonts w:cs="Times New Roman"/>
          <w:color w:val="000000"/>
          <w:szCs w:val="24"/>
        </w:rPr>
        <w:t>a hipótese de uma agricultura familiar abundante em mão-de-obra</w:t>
      </w:r>
      <w:r w:rsidR="009D15AB" w:rsidRPr="0085005B">
        <w:rPr>
          <w:rFonts w:cs="Times New Roman"/>
          <w:color w:val="000000"/>
          <w:szCs w:val="24"/>
        </w:rPr>
        <w:t xml:space="preserve">? Uma </w:t>
      </w:r>
      <w:r w:rsidR="00776D42" w:rsidRPr="0085005B">
        <w:rPr>
          <w:rFonts w:cs="Times New Roman"/>
          <w:color w:val="000000"/>
          <w:szCs w:val="24"/>
        </w:rPr>
        <w:t>vasta literatura versando sobre o problema sucessório neste segmento</w:t>
      </w:r>
      <w:r w:rsidR="009D15AB" w:rsidRPr="0085005B">
        <w:rPr>
          <w:rFonts w:cs="Times New Roman"/>
          <w:color w:val="000000"/>
          <w:szCs w:val="24"/>
        </w:rPr>
        <w:t xml:space="preserve"> nos chegou às mãos no início de 2010; literatura que desconhecíamos até então</w:t>
      </w:r>
      <w:r w:rsidR="000209BE" w:rsidRPr="0085005B">
        <w:rPr>
          <w:rStyle w:val="Refdenotaderodap"/>
          <w:rFonts w:cs="Times New Roman"/>
          <w:color w:val="000000"/>
          <w:szCs w:val="24"/>
        </w:rPr>
        <w:footnoteReference w:id="12"/>
      </w:r>
      <w:r w:rsidR="002C780B" w:rsidRPr="0085005B">
        <w:rPr>
          <w:rFonts w:cs="Times New Roman"/>
          <w:color w:val="000000"/>
          <w:szCs w:val="24"/>
        </w:rPr>
        <w:t>.</w:t>
      </w:r>
      <w:r w:rsidR="00776D42" w:rsidRPr="0085005B">
        <w:rPr>
          <w:rFonts w:cs="Times New Roman"/>
          <w:color w:val="000000"/>
          <w:szCs w:val="24"/>
        </w:rPr>
        <w:t xml:space="preserve"> </w:t>
      </w:r>
    </w:p>
    <w:p w14:paraId="247A7FC1" w14:textId="72AAFD7E" w:rsidR="00E4196A" w:rsidRPr="0085005B" w:rsidRDefault="00E4196A" w:rsidP="009D15AB">
      <w:pPr>
        <w:ind w:firstLine="708"/>
        <w:rPr>
          <w:rFonts w:cs="Times New Roman"/>
          <w:color w:val="000000"/>
          <w:szCs w:val="24"/>
        </w:rPr>
      </w:pPr>
      <w:r w:rsidRPr="0085005B">
        <w:rPr>
          <w:rFonts w:cs="Times New Roman"/>
          <w:color w:val="000000"/>
          <w:szCs w:val="24"/>
        </w:rPr>
        <w:lastRenderedPageBreak/>
        <w:t>O enfrentamento deste problema não foi trivial. Ele envolveu, em primeiro lugar, uma ampla pesquisa bibliográfica acerca dos critérios de classificação dos diversos sistemas agrícolas e agrários. Bem como acerca dos problemas sucessórios na agricultura familiar brasileira. A</w:t>
      </w:r>
      <w:r w:rsidR="00D37F47">
        <w:rPr>
          <w:rFonts w:cs="Times New Roman"/>
          <w:color w:val="000000"/>
          <w:szCs w:val="24"/>
        </w:rPr>
        <w:t>s</w:t>
      </w:r>
      <w:r w:rsidRPr="0085005B">
        <w:rPr>
          <w:rFonts w:cs="Times New Roman"/>
          <w:color w:val="000000"/>
          <w:szCs w:val="24"/>
        </w:rPr>
        <w:t xml:space="preserve"> duas principais conclusões a que chegamos são: 1) a disponibilidade relativa de terras e de mão-de-obra são a principal distinção entre agricultura patronal e familiar; 2) os problemas sucessórios que afetam a agricultura familiar contemporaneamente são </w:t>
      </w:r>
      <w:r w:rsidRPr="0085005B">
        <w:rPr>
          <w:rFonts w:cs="Times New Roman"/>
          <w:b/>
          <w:bCs/>
          <w:color w:val="000000"/>
          <w:szCs w:val="24"/>
        </w:rPr>
        <w:t>multideterminados</w:t>
      </w:r>
      <w:r w:rsidRPr="0085005B">
        <w:rPr>
          <w:rFonts w:cs="Times New Roman"/>
          <w:color w:val="000000"/>
          <w:szCs w:val="24"/>
        </w:rPr>
        <w:t xml:space="preserve"> e </w:t>
      </w:r>
      <w:r w:rsidRPr="0085005B">
        <w:rPr>
          <w:rFonts w:cs="Times New Roman"/>
          <w:b/>
          <w:bCs/>
          <w:color w:val="000000"/>
          <w:szCs w:val="24"/>
        </w:rPr>
        <w:t>irredutíveis</w:t>
      </w:r>
      <w:r w:rsidRPr="0085005B">
        <w:rPr>
          <w:rFonts w:cs="Times New Roman"/>
          <w:color w:val="000000"/>
          <w:szCs w:val="24"/>
        </w:rPr>
        <w:t xml:space="preserve"> à especialização produtiva agrícola, mas este é, indubitavelmente, um fator da maior importância</w:t>
      </w:r>
      <w:r w:rsidRPr="0085005B">
        <w:rPr>
          <w:rStyle w:val="Refdenotaderodap"/>
          <w:rFonts w:cs="Times New Roman"/>
          <w:color w:val="000000"/>
          <w:szCs w:val="24"/>
        </w:rPr>
        <w:footnoteReference w:id="13"/>
      </w:r>
      <w:r w:rsidRPr="0085005B">
        <w:rPr>
          <w:rFonts w:cs="Times New Roman"/>
          <w:color w:val="000000"/>
          <w:szCs w:val="24"/>
        </w:rPr>
        <w:t xml:space="preserve">. </w:t>
      </w:r>
    </w:p>
    <w:p w14:paraId="70BD5F03" w14:textId="35DB30F4" w:rsidR="00686294" w:rsidRDefault="004808BA" w:rsidP="00686294">
      <w:pPr>
        <w:ind w:firstLine="708"/>
        <w:rPr>
          <w:rFonts w:cs="Times New Roman"/>
          <w:color w:val="000000"/>
          <w:szCs w:val="24"/>
        </w:rPr>
      </w:pPr>
      <w:r w:rsidRPr="0085005B">
        <w:rPr>
          <w:rFonts w:cs="Times New Roman"/>
          <w:color w:val="000000"/>
          <w:szCs w:val="24"/>
        </w:rPr>
        <w:t>Simultaneamente</w:t>
      </w:r>
      <w:r w:rsidR="00686294">
        <w:rPr>
          <w:rFonts w:cs="Times New Roman"/>
          <w:color w:val="000000"/>
          <w:szCs w:val="24"/>
        </w:rPr>
        <w:t xml:space="preserve"> - </w:t>
      </w:r>
      <w:r w:rsidR="009D15AB" w:rsidRPr="0085005B">
        <w:rPr>
          <w:rFonts w:cs="Times New Roman"/>
          <w:color w:val="000000"/>
          <w:szCs w:val="24"/>
        </w:rPr>
        <w:t>em função da imposição</w:t>
      </w:r>
      <w:r w:rsidR="00686294">
        <w:rPr>
          <w:rFonts w:cs="Times New Roman"/>
          <w:color w:val="000000"/>
          <w:szCs w:val="24"/>
        </w:rPr>
        <w:t xml:space="preserve"> pelo IPEA</w:t>
      </w:r>
      <w:r w:rsidR="009D15AB" w:rsidRPr="0085005B">
        <w:rPr>
          <w:rFonts w:cs="Times New Roman"/>
          <w:color w:val="000000"/>
          <w:szCs w:val="24"/>
        </w:rPr>
        <w:t xml:space="preserve"> de ampliação </w:t>
      </w:r>
      <w:r w:rsidR="00686294">
        <w:rPr>
          <w:rFonts w:cs="Times New Roman"/>
          <w:color w:val="000000"/>
          <w:szCs w:val="24"/>
        </w:rPr>
        <w:t xml:space="preserve">do território coberto pela pesquisa - </w:t>
      </w:r>
      <w:r w:rsidR="009D15AB" w:rsidRPr="0085005B">
        <w:rPr>
          <w:rFonts w:cs="Times New Roman"/>
          <w:color w:val="000000"/>
          <w:szCs w:val="24"/>
        </w:rPr>
        <w:t xml:space="preserve">a construção do banco de dados mostrou-se particularmente problemática. </w:t>
      </w:r>
      <w:r w:rsidR="00686294">
        <w:rPr>
          <w:rFonts w:cs="Times New Roman"/>
          <w:color w:val="000000"/>
          <w:szCs w:val="24"/>
        </w:rPr>
        <w:t xml:space="preserve">Sabíamos que seria </w:t>
      </w:r>
      <w:r w:rsidRPr="0085005B">
        <w:rPr>
          <w:rFonts w:cs="Times New Roman"/>
          <w:color w:val="000000"/>
          <w:szCs w:val="24"/>
        </w:rPr>
        <w:t xml:space="preserve">preciso construir um banco </w:t>
      </w:r>
      <w:r w:rsidR="009D15AB" w:rsidRPr="0085005B">
        <w:rPr>
          <w:rFonts w:cs="Times New Roman"/>
          <w:color w:val="000000"/>
          <w:szCs w:val="24"/>
        </w:rPr>
        <w:t>co</w:t>
      </w:r>
      <w:r w:rsidRPr="0085005B">
        <w:rPr>
          <w:rFonts w:cs="Times New Roman"/>
          <w:color w:val="000000"/>
          <w:szCs w:val="24"/>
        </w:rPr>
        <w:t xml:space="preserve">m informações de distintas bases informacionais e que cobrisse um longo período de tempo. </w:t>
      </w:r>
      <w:r w:rsidR="00686294">
        <w:rPr>
          <w:rFonts w:cs="Times New Roman"/>
          <w:color w:val="000000"/>
          <w:szCs w:val="24"/>
        </w:rPr>
        <w:t xml:space="preserve">Sabíamos dos </w:t>
      </w:r>
      <w:r w:rsidRPr="0085005B">
        <w:rPr>
          <w:rFonts w:cs="Times New Roman"/>
          <w:color w:val="000000"/>
          <w:szCs w:val="24"/>
        </w:rPr>
        <w:t xml:space="preserve">diversos problemas associados a esta dupla demanda. </w:t>
      </w:r>
      <w:r w:rsidR="00686294">
        <w:rPr>
          <w:rFonts w:cs="Times New Roman"/>
          <w:color w:val="000000"/>
          <w:szCs w:val="24"/>
        </w:rPr>
        <w:t>Mas acreditávamos que o maior problema se encontrava n</w:t>
      </w:r>
      <w:r w:rsidRPr="0085005B">
        <w:rPr>
          <w:rFonts w:cs="Times New Roman"/>
          <w:color w:val="000000"/>
          <w:szCs w:val="24"/>
        </w:rPr>
        <w:t>a incomparabilidade de dado municipais de longo prazo</w:t>
      </w:r>
      <w:r w:rsidR="00686294">
        <w:rPr>
          <w:rFonts w:cs="Times New Roman"/>
          <w:color w:val="000000"/>
          <w:szCs w:val="24"/>
        </w:rPr>
        <w:t xml:space="preserve"> (</w:t>
      </w:r>
      <w:r w:rsidRPr="0085005B">
        <w:rPr>
          <w:rFonts w:cs="Times New Roman"/>
          <w:color w:val="000000"/>
          <w:szCs w:val="24"/>
        </w:rPr>
        <w:t>em função da constante emergência de novos municípios a partir de territórios que, anteriormente, pertenciam a municipalidades que mantém sua denominação de origem a despeito das perdas geofísica, demográfica e patrimonia</w:t>
      </w:r>
      <w:r w:rsidR="005920D2" w:rsidRPr="0085005B">
        <w:rPr>
          <w:rFonts w:cs="Times New Roman"/>
          <w:color w:val="000000"/>
          <w:szCs w:val="24"/>
        </w:rPr>
        <w:t>l</w:t>
      </w:r>
      <w:r w:rsidR="00686294">
        <w:rPr>
          <w:rFonts w:cs="Times New Roman"/>
          <w:color w:val="000000"/>
          <w:szCs w:val="24"/>
        </w:rPr>
        <w:t xml:space="preserve">) e no </w:t>
      </w:r>
      <w:r w:rsidR="00A86786">
        <w:rPr>
          <w:rFonts w:cs="Times New Roman"/>
          <w:color w:val="000000"/>
          <w:szCs w:val="24"/>
        </w:rPr>
        <w:t xml:space="preserve">pesado </w:t>
      </w:r>
      <w:r w:rsidR="00686294">
        <w:rPr>
          <w:rFonts w:cs="Times New Roman"/>
          <w:color w:val="000000"/>
          <w:szCs w:val="24"/>
        </w:rPr>
        <w:t xml:space="preserve">viés </w:t>
      </w:r>
      <w:r w:rsidR="00A86786">
        <w:rPr>
          <w:rFonts w:cs="Times New Roman"/>
          <w:color w:val="000000"/>
          <w:szCs w:val="24"/>
        </w:rPr>
        <w:t xml:space="preserve">estatístico </w:t>
      </w:r>
      <w:r w:rsidR="00686294">
        <w:rPr>
          <w:rFonts w:cs="Times New Roman"/>
          <w:color w:val="000000"/>
          <w:szCs w:val="24"/>
        </w:rPr>
        <w:t xml:space="preserve">introduzido pela utilização de “Áreas </w:t>
      </w:r>
      <w:r w:rsidR="00A86786">
        <w:rPr>
          <w:rFonts w:cs="Times New Roman"/>
          <w:color w:val="000000"/>
          <w:szCs w:val="24"/>
        </w:rPr>
        <w:t>Mínimas</w:t>
      </w:r>
      <w:r w:rsidR="00686294">
        <w:rPr>
          <w:rFonts w:cs="Times New Roman"/>
          <w:color w:val="000000"/>
          <w:szCs w:val="24"/>
        </w:rPr>
        <w:t xml:space="preserve"> Comparáveis”. </w:t>
      </w:r>
      <w:r w:rsidR="009D15AB" w:rsidRPr="0085005B">
        <w:rPr>
          <w:rFonts w:cs="Times New Roman"/>
          <w:color w:val="000000"/>
          <w:szCs w:val="24"/>
        </w:rPr>
        <w:t xml:space="preserve">Tínhamos </w:t>
      </w:r>
      <w:r w:rsidR="00686294">
        <w:rPr>
          <w:rFonts w:cs="Times New Roman"/>
          <w:color w:val="000000"/>
          <w:szCs w:val="24"/>
        </w:rPr>
        <w:t>tanta</w:t>
      </w:r>
      <w:r w:rsidR="009D15AB" w:rsidRPr="0085005B">
        <w:rPr>
          <w:rFonts w:cs="Times New Roman"/>
          <w:color w:val="000000"/>
          <w:szCs w:val="24"/>
        </w:rPr>
        <w:t xml:space="preserve"> consciência deste primeiro problema</w:t>
      </w:r>
      <w:r w:rsidR="00686294">
        <w:rPr>
          <w:rFonts w:cs="Times New Roman"/>
          <w:color w:val="000000"/>
          <w:szCs w:val="24"/>
        </w:rPr>
        <w:t xml:space="preserve"> que</w:t>
      </w:r>
      <w:r w:rsidR="009D15AB" w:rsidRPr="0085005B">
        <w:rPr>
          <w:rFonts w:cs="Times New Roman"/>
          <w:color w:val="000000"/>
          <w:szCs w:val="24"/>
        </w:rPr>
        <w:t xml:space="preserve"> havíamos construído um </w:t>
      </w:r>
      <w:r w:rsidR="00686294">
        <w:rPr>
          <w:rFonts w:cs="Times New Roman"/>
          <w:color w:val="000000"/>
          <w:szCs w:val="24"/>
        </w:rPr>
        <w:t xml:space="preserve">complexo </w:t>
      </w:r>
      <w:r w:rsidR="009D15AB" w:rsidRPr="0085005B">
        <w:rPr>
          <w:rFonts w:cs="Times New Roman"/>
          <w:color w:val="000000"/>
          <w:szCs w:val="24"/>
        </w:rPr>
        <w:t>sistema</w:t>
      </w:r>
      <w:r w:rsidR="00686294">
        <w:rPr>
          <w:rFonts w:cs="Times New Roman"/>
          <w:color w:val="000000"/>
          <w:szCs w:val="24"/>
        </w:rPr>
        <w:t xml:space="preserve"> de referenciamento geográfico</w:t>
      </w:r>
      <w:r w:rsidR="009D15AB" w:rsidRPr="0085005B">
        <w:rPr>
          <w:rFonts w:cs="Times New Roman"/>
          <w:color w:val="000000"/>
          <w:szCs w:val="24"/>
        </w:rPr>
        <w:t xml:space="preserve"> para seu enfrentamento</w:t>
      </w:r>
      <w:r w:rsidR="00686294">
        <w:rPr>
          <w:rFonts w:cs="Times New Roman"/>
          <w:color w:val="000000"/>
          <w:szCs w:val="24"/>
        </w:rPr>
        <w:t>. Infelizmente, este sistema</w:t>
      </w:r>
      <w:r w:rsidR="009D15AB" w:rsidRPr="0085005B">
        <w:rPr>
          <w:rFonts w:cs="Times New Roman"/>
          <w:color w:val="000000"/>
          <w:szCs w:val="24"/>
        </w:rPr>
        <w:t xml:space="preserve"> teve</w:t>
      </w:r>
      <w:r w:rsidR="00686294">
        <w:rPr>
          <w:rFonts w:cs="Times New Roman"/>
          <w:color w:val="000000"/>
          <w:szCs w:val="24"/>
        </w:rPr>
        <w:t xml:space="preserve"> que</w:t>
      </w:r>
      <w:r w:rsidR="009D15AB" w:rsidRPr="0085005B">
        <w:rPr>
          <w:rFonts w:cs="Times New Roman"/>
          <w:color w:val="000000"/>
          <w:szCs w:val="24"/>
        </w:rPr>
        <w:t xml:space="preserve"> ser jogado </w:t>
      </w:r>
      <w:r w:rsidR="00686294">
        <w:rPr>
          <w:rFonts w:cs="Times New Roman"/>
          <w:color w:val="000000"/>
          <w:szCs w:val="24"/>
        </w:rPr>
        <w:t xml:space="preserve">abandonado pelas </w:t>
      </w:r>
      <w:r w:rsidR="009D15AB" w:rsidRPr="0085005B">
        <w:rPr>
          <w:rFonts w:cs="Times New Roman"/>
          <w:color w:val="000000"/>
          <w:szCs w:val="24"/>
        </w:rPr>
        <w:t xml:space="preserve">exigências </w:t>
      </w:r>
      <w:r w:rsidR="00686294">
        <w:rPr>
          <w:rFonts w:cs="Times New Roman"/>
          <w:color w:val="000000"/>
          <w:szCs w:val="24"/>
        </w:rPr>
        <w:t xml:space="preserve">de cobertura territorial </w:t>
      </w:r>
      <w:r w:rsidR="009D15AB" w:rsidRPr="0085005B">
        <w:rPr>
          <w:rFonts w:cs="Times New Roman"/>
          <w:color w:val="000000"/>
          <w:szCs w:val="24"/>
        </w:rPr>
        <w:t>do IPEA. Mas ainda não tínhamos toda a dimensão de</w:t>
      </w:r>
      <w:r w:rsidR="00CD33C8" w:rsidRPr="0085005B">
        <w:rPr>
          <w:rFonts w:cs="Times New Roman"/>
          <w:color w:val="000000"/>
          <w:szCs w:val="24"/>
        </w:rPr>
        <w:t xml:space="preserve"> um problema igualmente grave: a</w:t>
      </w:r>
      <w:r w:rsidR="005920D2" w:rsidRPr="0085005B">
        <w:rPr>
          <w:rFonts w:cs="Times New Roman"/>
          <w:color w:val="000000"/>
          <w:szCs w:val="24"/>
        </w:rPr>
        <w:t>s contradições</w:t>
      </w:r>
      <w:r w:rsidR="00CD33C8" w:rsidRPr="0085005B">
        <w:rPr>
          <w:rFonts w:cs="Times New Roman"/>
          <w:color w:val="000000"/>
          <w:szCs w:val="24"/>
        </w:rPr>
        <w:t xml:space="preserve"> informacionais</w:t>
      </w:r>
      <w:r w:rsidR="005920D2" w:rsidRPr="0085005B">
        <w:rPr>
          <w:rFonts w:cs="Times New Roman"/>
          <w:color w:val="000000"/>
          <w:szCs w:val="24"/>
        </w:rPr>
        <w:t xml:space="preserve"> entre distintas fontes</w:t>
      </w:r>
      <w:r w:rsidR="00EB354C" w:rsidRPr="0085005B">
        <w:rPr>
          <w:rFonts w:cs="Times New Roman"/>
          <w:color w:val="000000"/>
          <w:szCs w:val="24"/>
        </w:rPr>
        <w:t xml:space="preserve">. </w:t>
      </w:r>
    </w:p>
    <w:p w14:paraId="1ACF68E1" w14:textId="77D2E58E" w:rsidR="00CD33C8" w:rsidRPr="0085005B" w:rsidRDefault="00CD33C8" w:rsidP="00686294">
      <w:pPr>
        <w:ind w:firstLine="708"/>
        <w:rPr>
          <w:rFonts w:cs="Times New Roman"/>
          <w:color w:val="000000"/>
          <w:szCs w:val="24"/>
        </w:rPr>
      </w:pPr>
      <w:r w:rsidRPr="0085005B">
        <w:rPr>
          <w:rFonts w:cs="Times New Roman"/>
          <w:color w:val="000000"/>
          <w:szCs w:val="24"/>
        </w:rPr>
        <w:lastRenderedPageBreak/>
        <w:t xml:space="preserve">Permitam-nos dar apenas dois exemplos deste problema que ganham expressão por estarem associados a um único órgão – o IBGE - que é o líder do sistema estatístico nacional: 1) a avaliação dos rebanhos pecuários nacionais realizados pelos Censos Agropecuários (aproximadamente decenal) e pelas Pesquisas Pecuárias Municipais (anuais) distam em vários milhões de cabeças. O registro do Censo resulta da declaração dos entrevistados. O registro da PPM tem por base informações de órgãos públicos de apoio e fiscalização da produção pecuária; 2) Censo Agropecuário, PNAD e Censos Demográficos avaliam de forma distinta a população domiciliada e empregada no campo em atividades agropecuárias. A diferença baseia-se em critérios metodológicos de coleta e registro e é da casa dos “vários milhões de indivíduos”. </w:t>
      </w:r>
    </w:p>
    <w:p w14:paraId="4A105B48" w14:textId="033C5C20" w:rsidR="009306E4" w:rsidRPr="0085005B" w:rsidRDefault="00686294" w:rsidP="00CD33C8">
      <w:pPr>
        <w:ind w:firstLine="708"/>
        <w:rPr>
          <w:rFonts w:cs="Times New Roman"/>
          <w:color w:val="000000"/>
          <w:szCs w:val="24"/>
        </w:rPr>
      </w:pPr>
      <w:r>
        <w:rPr>
          <w:rFonts w:cs="Times New Roman"/>
          <w:color w:val="000000"/>
          <w:szCs w:val="24"/>
        </w:rPr>
        <w:t>Mas o</w:t>
      </w:r>
      <w:r w:rsidR="00CD33C8" w:rsidRPr="0085005B">
        <w:rPr>
          <w:rFonts w:cs="Times New Roman"/>
          <w:color w:val="000000"/>
          <w:szCs w:val="24"/>
        </w:rPr>
        <w:t xml:space="preserve"> problema </w:t>
      </w:r>
      <w:r>
        <w:rPr>
          <w:rFonts w:cs="Times New Roman"/>
          <w:color w:val="000000"/>
          <w:szCs w:val="24"/>
        </w:rPr>
        <w:t>era ainda maior. A</w:t>
      </w:r>
      <w:r w:rsidR="00CD33C8" w:rsidRPr="0085005B">
        <w:rPr>
          <w:rFonts w:cs="Times New Roman"/>
          <w:color w:val="000000"/>
          <w:szCs w:val="24"/>
        </w:rPr>
        <w:t xml:space="preserve"> inconsistência dos dados obtidos em diferentes fontes (mesmo quando a fonte é o mesmo Instituto de Geografia e Estatística) foi amplificado quando passamos a analisar detalhadamente o Censo Agropecuário de 2006. </w:t>
      </w:r>
      <w:r w:rsidR="00EB354C" w:rsidRPr="0085005B">
        <w:rPr>
          <w:rFonts w:cs="Times New Roman"/>
          <w:color w:val="000000"/>
          <w:szCs w:val="24"/>
        </w:rPr>
        <w:t xml:space="preserve">Este foi o primeiro Censo realizado de forma inteiramente digital: os recenseadores não usavam papel, mas um minicomputador acoplado a um sistema de GPS para a localização do estabelecimento. </w:t>
      </w:r>
      <w:r w:rsidR="00CD33C8" w:rsidRPr="0085005B">
        <w:rPr>
          <w:rFonts w:cs="Times New Roman"/>
          <w:color w:val="000000"/>
          <w:szCs w:val="24"/>
        </w:rPr>
        <w:t>Sem dúvida,</w:t>
      </w:r>
      <w:r w:rsidR="00EB354C" w:rsidRPr="0085005B">
        <w:rPr>
          <w:rFonts w:cs="Times New Roman"/>
          <w:color w:val="000000"/>
          <w:szCs w:val="24"/>
        </w:rPr>
        <w:t xml:space="preserve"> a adoção do sistema em si foi um grande avanço</w:t>
      </w:r>
      <w:r w:rsidR="00CD33C8" w:rsidRPr="0085005B">
        <w:rPr>
          <w:rFonts w:cs="Times New Roman"/>
          <w:color w:val="000000"/>
          <w:szCs w:val="24"/>
        </w:rPr>
        <w:t>. Mas</w:t>
      </w:r>
      <w:r w:rsidR="00EB354C" w:rsidRPr="0085005B">
        <w:rPr>
          <w:rFonts w:cs="Times New Roman"/>
          <w:color w:val="000000"/>
          <w:szCs w:val="24"/>
        </w:rPr>
        <w:t xml:space="preserve"> a primeira experiência com o novo instrumento foi marcada por s</w:t>
      </w:r>
      <w:r w:rsidR="00CD33C8" w:rsidRPr="0085005B">
        <w:rPr>
          <w:rFonts w:cs="Times New Roman"/>
          <w:color w:val="000000"/>
          <w:szCs w:val="24"/>
        </w:rPr>
        <w:t>eríssimas</w:t>
      </w:r>
      <w:r w:rsidR="00EB354C" w:rsidRPr="0085005B">
        <w:rPr>
          <w:rFonts w:cs="Times New Roman"/>
          <w:color w:val="000000"/>
          <w:szCs w:val="24"/>
        </w:rPr>
        <w:t xml:space="preserve"> dificuldades operacionais. </w:t>
      </w:r>
      <w:r w:rsidR="00CD33C8" w:rsidRPr="0085005B">
        <w:rPr>
          <w:rFonts w:cs="Times New Roman"/>
          <w:color w:val="000000"/>
          <w:szCs w:val="24"/>
        </w:rPr>
        <w:t>Como resultado</w:t>
      </w:r>
      <w:r>
        <w:rPr>
          <w:rFonts w:cs="Times New Roman"/>
          <w:color w:val="000000"/>
          <w:szCs w:val="24"/>
        </w:rPr>
        <w:t xml:space="preserve">, </w:t>
      </w:r>
      <w:r w:rsidR="00EB354C" w:rsidRPr="0085005B">
        <w:rPr>
          <w:rFonts w:cs="Times New Roman"/>
          <w:color w:val="000000"/>
          <w:szCs w:val="24"/>
        </w:rPr>
        <w:t xml:space="preserve">os dados </w:t>
      </w:r>
      <w:proofErr w:type="spellStart"/>
      <w:r w:rsidR="00EB354C" w:rsidRPr="0085005B">
        <w:rPr>
          <w:rFonts w:cs="Times New Roman"/>
          <w:color w:val="000000"/>
          <w:szCs w:val="24"/>
        </w:rPr>
        <w:t>censitados</w:t>
      </w:r>
      <w:proofErr w:type="spellEnd"/>
      <w:r w:rsidR="00EB354C" w:rsidRPr="0085005B">
        <w:rPr>
          <w:rFonts w:cs="Times New Roman"/>
          <w:color w:val="000000"/>
          <w:szCs w:val="24"/>
        </w:rPr>
        <w:t xml:space="preserve"> apresentavam inúmeras inconsistências</w:t>
      </w:r>
      <w:r w:rsidR="0007427A" w:rsidRPr="0085005B">
        <w:rPr>
          <w:rStyle w:val="Refdenotaderodap"/>
          <w:rFonts w:cs="Times New Roman"/>
          <w:color w:val="000000"/>
          <w:szCs w:val="24"/>
        </w:rPr>
        <w:footnoteReference w:id="14"/>
      </w:r>
      <w:r w:rsidR="00EB354C" w:rsidRPr="0085005B">
        <w:rPr>
          <w:rFonts w:cs="Times New Roman"/>
          <w:color w:val="000000"/>
          <w:szCs w:val="24"/>
        </w:rPr>
        <w:t xml:space="preserve">. </w:t>
      </w:r>
      <w:r>
        <w:rPr>
          <w:rFonts w:cs="Times New Roman"/>
          <w:color w:val="000000"/>
          <w:szCs w:val="24"/>
        </w:rPr>
        <w:t xml:space="preserve">Alguns exemplos: 1) o somatório da área dos estabelecimentos agropecuários em diversos municípios era </w:t>
      </w:r>
      <w:r w:rsidRPr="00686294">
        <w:rPr>
          <w:rFonts w:cs="Times New Roman"/>
          <w:b/>
          <w:bCs/>
          <w:color w:val="000000"/>
          <w:szCs w:val="24"/>
        </w:rPr>
        <w:t>muito</w:t>
      </w:r>
      <w:r>
        <w:rPr>
          <w:rFonts w:cs="Times New Roman"/>
          <w:color w:val="000000"/>
          <w:szCs w:val="24"/>
        </w:rPr>
        <w:t xml:space="preserve"> superior à área total dos municípios; 2) o Valor </w:t>
      </w:r>
      <w:r w:rsidRPr="00AC4587">
        <w:rPr>
          <w:rFonts w:cs="Times New Roman"/>
          <w:color w:val="000000"/>
          <w:szCs w:val="24"/>
        </w:rPr>
        <w:t>Bruto</w:t>
      </w:r>
      <w:r>
        <w:rPr>
          <w:rFonts w:cs="Times New Roman"/>
          <w:color w:val="000000"/>
          <w:szCs w:val="24"/>
        </w:rPr>
        <w:t xml:space="preserve"> da </w:t>
      </w:r>
      <w:r w:rsidRPr="00AC4587">
        <w:rPr>
          <w:rFonts w:cs="Times New Roman"/>
          <w:b/>
          <w:bCs/>
          <w:color w:val="000000"/>
          <w:szCs w:val="24"/>
        </w:rPr>
        <w:t>Produção</w:t>
      </w:r>
      <w:r>
        <w:rPr>
          <w:rFonts w:cs="Times New Roman"/>
          <w:color w:val="000000"/>
          <w:szCs w:val="24"/>
        </w:rPr>
        <w:t xml:space="preserve"> Agropecuária de diversos municípios era </w:t>
      </w:r>
      <w:r w:rsidR="00AC4587">
        <w:rPr>
          <w:rFonts w:cs="Times New Roman"/>
          <w:color w:val="000000"/>
          <w:szCs w:val="24"/>
        </w:rPr>
        <w:t xml:space="preserve">muito </w:t>
      </w:r>
      <w:r>
        <w:rPr>
          <w:rFonts w:cs="Times New Roman"/>
          <w:color w:val="000000"/>
          <w:szCs w:val="24"/>
        </w:rPr>
        <w:t xml:space="preserve">inferior ao Valor </w:t>
      </w:r>
      <w:r w:rsidR="00AC4587" w:rsidRPr="00AC4587">
        <w:rPr>
          <w:rFonts w:cs="Times New Roman"/>
          <w:b/>
          <w:bCs/>
          <w:color w:val="000000"/>
          <w:szCs w:val="24"/>
        </w:rPr>
        <w:t>Agregado</w:t>
      </w:r>
      <w:r w:rsidR="00AC4587">
        <w:rPr>
          <w:rFonts w:cs="Times New Roman"/>
          <w:color w:val="000000"/>
          <w:szCs w:val="24"/>
        </w:rPr>
        <w:t xml:space="preserve"> Bruto da Agropecuária (o que pressuporia Consumo Intermediário negativo); 3) a população ocupada rural em diversos municípios </w:t>
      </w:r>
      <w:r w:rsidR="00A86786">
        <w:rPr>
          <w:rFonts w:cs="Times New Roman"/>
          <w:color w:val="000000"/>
          <w:szCs w:val="24"/>
        </w:rPr>
        <w:t xml:space="preserve">não era registrada em qualquer </w:t>
      </w:r>
      <w:r w:rsidR="00A86786">
        <w:rPr>
          <w:rFonts w:cs="Times New Roman"/>
          <w:color w:val="000000"/>
          <w:szCs w:val="24"/>
        </w:rPr>
        <w:lastRenderedPageBreak/>
        <w:t xml:space="preserve">atividade principal e, algumas vezes, era muito discrepante da </w:t>
      </w:r>
      <w:r w:rsidR="00AC4587">
        <w:rPr>
          <w:rFonts w:cs="Times New Roman"/>
          <w:color w:val="000000"/>
          <w:szCs w:val="24"/>
        </w:rPr>
        <w:t>população rural identificada nos Censos de 2000 e (como chegamos a averiguar posteriormente) e de 2010</w:t>
      </w:r>
      <w:r w:rsidR="00A86786">
        <w:rPr>
          <w:rStyle w:val="Refdenotaderodap"/>
          <w:rFonts w:cs="Times New Roman"/>
          <w:color w:val="000000"/>
          <w:szCs w:val="24"/>
        </w:rPr>
        <w:footnoteReference w:id="15"/>
      </w:r>
      <w:r w:rsidR="00AC4587">
        <w:rPr>
          <w:rFonts w:cs="Times New Roman"/>
          <w:color w:val="000000"/>
          <w:szCs w:val="24"/>
        </w:rPr>
        <w:t xml:space="preserve">. </w:t>
      </w:r>
    </w:p>
    <w:p w14:paraId="643F3643" w14:textId="2F2B315C" w:rsidR="00F52A70" w:rsidRDefault="00F52A70" w:rsidP="00F1709F">
      <w:pPr>
        <w:ind w:firstLine="708"/>
        <w:rPr>
          <w:rFonts w:cs="Times New Roman"/>
          <w:color w:val="000000"/>
          <w:szCs w:val="24"/>
        </w:rPr>
      </w:pPr>
      <w:r>
        <w:rPr>
          <w:rFonts w:cs="Times New Roman"/>
          <w:color w:val="000000"/>
          <w:szCs w:val="24"/>
        </w:rPr>
        <w:t>Procuramos enfrentar estes problemas a partir de duas estratégias. Em primeiro lugar, definimos critérios de confiabilidade para as informações oriundas do Censo Agropecuário de 2006. Pelos critérios adotados, excluímos da amostra todos os municípios da Região Sul (Paraná, Santa Catarina e Rio Grande do Sul) nos quais: 1) a área total dos estabelecimentos rurais fosse inferior a 20% ou superior a 100% da área total da municipalidade; 2) o Valor Bruto da Produção Agropecuária identificado no Censo de 2006 fosse inferior a 33% do VAB Agropecuário do município no mesmo ano</w:t>
      </w:r>
      <w:r>
        <w:rPr>
          <w:rStyle w:val="Refdenotaderodap"/>
          <w:rFonts w:cs="Times New Roman"/>
          <w:color w:val="000000"/>
          <w:szCs w:val="24"/>
        </w:rPr>
        <w:footnoteReference w:id="16"/>
      </w:r>
      <w:r w:rsidR="00712356">
        <w:rPr>
          <w:rFonts w:cs="Times New Roman"/>
          <w:color w:val="000000"/>
          <w:szCs w:val="24"/>
        </w:rPr>
        <w:t xml:space="preserve">; 3) a população ocupada nos estabelecimentos agropecuários </w:t>
      </w:r>
      <w:r w:rsidR="00184542">
        <w:rPr>
          <w:rFonts w:cs="Times New Roman"/>
          <w:color w:val="000000"/>
          <w:szCs w:val="24"/>
        </w:rPr>
        <w:t xml:space="preserve">em 2006 </w:t>
      </w:r>
      <w:r w:rsidR="00712356">
        <w:rPr>
          <w:rFonts w:cs="Times New Roman"/>
          <w:color w:val="000000"/>
          <w:szCs w:val="24"/>
        </w:rPr>
        <w:t>supera</w:t>
      </w:r>
      <w:r w:rsidR="00184542">
        <w:rPr>
          <w:rFonts w:cs="Times New Roman"/>
          <w:color w:val="000000"/>
          <w:szCs w:val="24"/>
        </w:rPr>
        <w:t>va</w:t>
      </w:r>
      <w:r w:rsidR="00712356">
        <w:rPr>
          <w:rFonts w:cs="Times New Roman"/>
          <w:color w:val="000000"/>
          <w:szCs w:val="24"/>
        </w:rPr>
        <w:t xml:space="preserve"> em mais de 5% a população rural total de 2000</w:t>
      </w:r>
      <w:r w:rsidR="00184542">
        <w:rPr>
          <w:rFonts w:cs="Times New Roman"/>
          <w:color w:val="000000"/>
          <w:szCs w:val="24"/>
        </w:rPr>
        <w:t xml:space="preserve"> ou em que a população ocupada não tinha qualquer atividade mercantil predominante. O resultado deste processo de eliminação de municípios não confiáveis foi a exclusão de dentre os 1188 municípios da amostra inicial. Ao fim e ao cabo, realizamos os testes que havíamos previsto apenas para </w:t>
      </w:r>
      <w:r w:rsidR="00287F87">
        <w:rPr>
          <w:rFonts w:cs="Times New Roman"/>
          <w:color w:val="000000"/>
          <w:szCs w:val="24"/>
        </w:rPr>
        <w:t>689 municípios.</w:t>
      </w:r>
    </w:p>
    <w:p w14:paraId="271165ED" w14:textId="2CAA4901" w:rsidR="00F1709F" w:rsidRDefault="00F1709F" w:rsidP="00F1709F">
      <w:pPr>
        <w:ind w:firstLine="708"/>
        <w:rPr>
          <w:rFonts w:cs="Times New Roman"/>
          <w:color w:val="000000"/>
          <w:szCs w:val="24"/>
        </w:rPr>
      </w:pPr>
      <w:r>
        <w:rPr>
          <w:rFonts w:cs="Times New Roman"/>
          <w:color w:val="000000"/>
          <w:szCs w:val="24"/>
        </w:rPr>
        <w:t xml:space="preserve">Secundariamente, procuramos sanar os problemas informacionais acessando o sistema de </w:t>
      </w:r>
      <w:proofErr w:type="spellStart"/>
      <w:r>
        <w:rPr>
          <w:rFonts w:cs="Times New Roman"/>
          <w:color w:val="000000"/>
          <w:szCs w:val="24"/>
        </w:rPr>
        <w:t>Microdados</w:t>
      </w:r>
      <w:proofErr w:type="spellEnd"/>
      <w:r>
        <w:rPr>
          <w:rFonts w:cs="Times New Roman"/>
          <w:color w:val="000000"/>
          <w:szCs w:val="24"/>
        </w:rPr>
        <w:t xml:space="preserve"> do Censo Agropecuário na sede do IBGE no Rio de Janeiro. Esta tentativa, contudo, foi frustrada e só serviu para a comprovação de que os problemas de sistematização das informações nas bases abertas (por município) não advinham de problemas de processamento: os </w:t>
      </w:r>
      <w:proofErr w:type="spellStart"/>
      <w:r>
        <w:rPr>
          <w:rFonts w:cs="Times New Roman"/>
          <w:color w:val="000000"/>
          <w:szCs w:val="24"/>
        </w:rPr>
        <w:t>microdados</w:t>
      </w:r>
      <w:proofErr w:type="spellEnd"/>
      <w:r>
        <w:rPr>
          <w:rFonts w:cs="Times New Roman"/>
          <w:color w:val="000000"/>
          <w:szCs w:val="24"/>
        </w:rPr>
        <w:t xml:space="preserve"> eram tão problemáticos (ou mais) que as informações públicas.</w:t>
      </w:r>
    </w:p>
    <w:p w14:paraId="50249F78" w14:textId="483CEADC" w:rsidR="00EB354C" w:rsidRPr="0085005B" w:rsidRDefault="00F1709F" w:rsidP="002375E6">
      <w:pPr>
        <w:ind w:firstLine="708"/>
        <w:rPr>
          <w:rFonts w:cs="Times New Roman"/>
          <w:color w:val="000000"/>
          <w:szCs w:val="24"/>
        </w:rPr>
      </w:pPr>
      <w:r>
        <w:rPr>
          <w:rFonts w:cs="Times New Roman"/>
          <w:color w:val="000000"/>
          <w:szCs w:val="24"/>
        </w:rPr>
        <w:lastRenderedPageBreak/>
        <w:t xml:space="preserve">Como se os problemas identificados acima não bastassem, emergiram outros. Para compreendê-los, é preciso ter em mente que o </w:t>
      </w:r>
      <w:r w:rsidR="009306E4" w:rsidRPr="0085005B">
        <w:rPr>
          <w:rFonts w:cs="Times New Roman"/>
          <w:color w:val="000000"/>
          <w:szCs w:val="24"/>
        </w:rPr>
        <w:t>nosso objetivo era o de avaliar a relação entre: 1) especialização produtiva agrícola; 2) rentabilidade</w:t>
      </w:r>
      <w:r>
        <w:rPr>
          <w:rFonts w:cs="Times New Roman"/>
          <w:color w:val="000000"/>
          <w:szCs w:val="24"/>
        </w:rPr>
        <w:t xml:space="preserve"> do agricultor familiar</w:t>
      </w:r>
      <w:r w:rsidR="009306E4" w:rsidRPr="0085005B">
        <w:rPr>
          <w:rFonts w:cs="Times New Roman"/>
          <w:color w:val="000000"/>
          <w:szCs w:val="24"/>
        </w:rPr>
        <w:t>; 3) sustentabilidade</w:t>
      </w:r>
      <w:r>
        <w:rPr>
          <w:rFonts w:cs="Times New Roman"/>
          <w:color w:val="000000"/>
          <w:szCs w:val="24"/>
        </w:rPr>
        <w:t xml:space="preserve"> da agricultura familiar</w:t>
      </w:r>
      <w:r w:rsidR="009306E4" w:rsidRPr="0085005B">
        <w:rPr>
          <w:rFonts w:cs="Times New Roman"/>
          <w:color w:val="000000"/>
          <w:szCs w:val="24"/>
        </w:rPr>
        <w:t>; 4) padrões de êxodo rural; 5) diversificação produtiva regional e urbana. O que trazia</w:t>
      </w:r>
      <w:r>
        <w:rPr>
          <w:rFonts w:cs="Times New Roman"/>
          <w:color w:val="000000"/>
          <w:szCs w:val="24"/>
        </w:rPr>
        <w:t xml:space="preserve"> </w:t>
      </w:r>
      <w:r w:rsidR="009306E4" w:rsidRPr="0085005B">
        <w:rPr>
          <w:rFonts w:cs="Times New Roman"/>
          <w:color w:val="000000"/>
          <w:szCs w:val="24"/>
        </w:rPr>
        <w:t>um</w:t>
      </w:r>
      <w:r>
        <w:rPr>
          <w:rFonts w:cs="Times New Roman"/>
          <w:color w:val="000000"/>
          <w:szCs w:val="24"/>
        </w:rPr>
        <w:t>a</w:t>
      </w:r>
      <w:r w:rsidR="009306E4" w:rsidRPr="0085005B">
        <w:rPr>
          <w:rFonts w:cs="Times New Roman"/>
          <w:color w:val="000000"/>
          <w:szCs w:val="24"/>
        </w:rPr>
        <w:t xml:space="preserve"> </w:t>
      </w:r>
      <w:r w:rsidR="009306E4" w:rsidRPr="00F1709F">
        <w:rPr>
          <w:rFonts w:cs="Times New Roman"/>
          <w:color w:val="000000"/>
          <w:szCs w:val="24"/>
        </w:rPr>
        <w:t>outr</w:t>
      </w:r>
      <w:r w:rsidRPr="00F1709F">
        <w:rPr>
          <w:rFonts w:cs="Times New Roman"/>
          <w:color w:val="000000"/>
          <w:szCs w:val="24"/>
        </w:rPr>
        <w:t>a</w:t>
      </w:r>
      <w:r>
        <w:rPr>
          <w:rFonts w:cs="Times New Roman"/>
          <w:color w:val="000000"/>
          <w:szCs w:val="24"/>
        </w:rPr>
        <w:t xml:space="preserve"> questão acerca da di</w:t>
      </w:r>
      <w:r w:rsidR="009306E4" w:rsidRPr="0085005B">
        <w:rPr>
          <w:rFonts w:cs="Times New Roman"/>
          <w:color w:val="000000"/>
          <w:szCs w:val="24"/>
        </w:rPr>
        <w:t>versidade dos dados: as informações disponíveis sobre rendimento e rentabilidade da agricultura familiar são poucas e extraordinariamente dúbias. Uma fonte importante é o Censo Demográfico. Ocorre que: 1) ele se realiza de dez em dez anos</w:t>
      </w:r>
      <w:r>
        <w:rPr>
          <w:rFonts w:cs="Times New Roman"/>
          <w:color w:val="000000"/>
          <w:szCs w:val="24"/>
        </w:rPr>
        <w:t xml:space="preserve"> e a data de realização não corresponde à data de realização do Censo Agropecuário</w:t>
      </w:r>
      <w:r w:rsidR="009306E4" w:rsidRPr="0085005B">
        <w:rPr>
          <w:rFonts w:cs="Times New Roman"/>
          <w:color w:val="000000"/>
          <w:szCs w:val="24"/>
        </w:rPr>
        <w:t xml:space="preserve">; 2) a renda declarada é exclusivamente a renda </w:t>
      </w:r>
      <w:r w:rsidR="009306E4" w:rsidRPr="0085005B">
        <w:rPr>
          <w:rFonts w:cs="Times New Roman"/>
          <w:b/>
          <w:bCs/>
          <w:color w:val="000000"/>
          <w:szCs w:val="24"/>
        </w:rPr>
        <w:t>monetária</w:t>
      </w:r>
      <w:r w:rsidR="009306E4" w:rsidRPr="0085005B">
        <w:rPr>
          <w:rFonts w:cs="Times New Roman"/>
          <w:color w:val="000000"/>
          <w:szCs w:val="24"/>
        </w:rPr>
        <w:t xml:space="preserve">, ignorando toda a renda associada à produção de bens para o consumo da família; 3) ela informa apenas a renda </w:t>
      </w:r>
      <w:r w:rsidR="009306E4" w:rsidRPr="0085005B">
        <w:rPr>
          <w:rFonts w:cs="Times New Roman"/>
          <w:b/>
          <w:bCs/>
          <w:color w:val="000000"/>
          <w:szCs w:val="24"/>
        </w:rPr>
        <w:t>monetária</w:t>
      </w:r>
      <w:r w:rsidR="009306E4" w:rsidRPr="0085005B">
        <w:rPr>
          <w:rFonts w:cs="Times New Roman"/>
          <w:color w:val="000000"/>
          <w:szCs w:val="24"/>
        </w:rPr>
        <w:t xml:space="preserve"> auferida no mês de setembro do ano em que o Censo é realizado, e este </w:t>
      </w:r>
      <w:r w:rsidR="009306E4" w:rsidRPr="0085005B">
        <w:rPr>
          <w:rFonts w:cs="Times New Roman"/>
          <w:b/>
          <w:bCs/>
          <w:color w:val="000000"/>
          <w:szCs w:val="24"/>
        </w:rPr>
        <w:t>não</w:t>
      </w:r>
      <w:r w:rsidR="009306E4" w:rsidRPr="0085005B">
        <w:rPr>
          <w:rFonts w:cs="Times New Roman"/>
          <w:color w:val="000000"/>
          <w:szCs w:val="24"/>
        </w:rPr>
        <w:t xml:space="preserve"> é um mês </w:t>
      </w:r>
      <w:r w:rsidR="00D625D9" w:rsidRPr="0085005B">
        <w:rPr>
          <w:rFonts w:cs="Times New Roman"/>
          <w:color w:val="000000"/>
          <w:szCs w:val="24"/>
        </w:rPr>
        <w:t xml:space="preserve">típico de colheita e/ou venda de safra na agricultura brasileira; 4) ao longo do tempo, os produtores agrícolas começaram a receber aposentadoria rural, a qual passou a inflar os rendimentos dos meses de setembro mesmo em municípios onde a agricultura familiar ingressava em clara trajetória de crise. </w:t>
      </w:r>
    </w:p>
    <w:p w14:paraId="13D22679" w14:textId="676E0E6A" w:rsidR="00E037FD" w:rsidRDefault="00E037FD" w:rsidP="002375E6">
      <w:pPr>
        <w:ind w:firstLine="708"/>
        <w:rPr>
          <w:rFonts w:cs="Times New Roman"/>
          <w:color w:val="000000"/>
          <w:szCs w:val="24"/>
        </w:rPr>
      </w:pPr>
      <w:r>
        <w:rPr>
          <w:rFonts w:cs="Times New Roman"/>
          <w:color w:val="000000"/>
          <w:szCs w:val="24"/>
        </w:rPr>
        <w:t xml:space="preserve">A despeito dos percalços e dificuldades, conseguimos alcançar resultados importantes e positivos já no primeiro ano de pesquisa. </w:t>
      </w:r>
      <w:r w:rsidR="00572BC1">
        <w:rPr>
          <w:rFonts w:cs="Times New Roman"/>
          <w:color w:val="000000"/>
          <w:szCs w:val="24"/>
        </w:rPr>
        <w:t>No plano teórico-analítico, as principais conclusões foram</w:t>
      </w:r>
      <w:r>
        <w:rPr>
          <w:rFonts w:cs="Times New Roman"/>
          <w:color w:val="000000"/>
          <w:szCs w:val="24"/>
        </w:rPr>
        <w:t>:</w:t>
      </w:r>
    </w:p>
    <w:p w14:paraId="757A0A57" w14:textId="77777777" w:rsidR="00E037FD" w:rsidRDefault="00E037FD" w:rsidP="00E037FD">
      <w:pPr>
        <w:pStyle w:val="PargrafodaLista"/>
        <w:numPr>
          <w:ilvl w:val="0"/>
          <w:numId w:val="7"/>
        </w:numPr>
        <w:rPr>
          <w:color w:val="000000"/>
        </w:rPr>
      </w:pPr>
      <w:r>
        <w:rPr>
          <w:color w:val="000000"/>
        </w:rPr>
        <w:t>A revisão bibliográfica acerca dos fundamentos teóricos da distinção entre Agricultura Familiar e Patronal-Capitalista comprovou a consistência da nossa hipótese inicial de que as duas estruturas se diferenciam, essencialmente, pela disponibilidade relativa dos recursos “trabalho” e “terra”</w:t>
      </w:r>
    </w:p>
    <w:p w14:paraId="3B3D743E" w14:textId="77777777" w:rsidR="0058730F" w:rsidRDefault="00E037FD" w:rsidP="00E037FD">
      <w:pPr>
        <w:pStyle w:val="PargrafodaLista"/>
        <w:numPr>
          <w:ilvl w:val="0"/>
          <w:numId w:val="7"/>
        </w:numPr>
        <w:rPr>
          <w:color w:val="000000"/>
        </w:rPr>
      </w:pPr>
      <w:r>
        <w:rPr>
          <w:color w:val="000000"/>
        </w:rPr>
        <w:t xml:space="preserve">Igualmente bem, a revisão bibliográfica indicou que os crescentes problemas sucessórios (e, por extensão, de aparente carência de mão-de-obra) na Agricultura Familiar estão associados à baixa rentabilidade da mesma. Uma baixa rentabilidade que não é inerente à produção agropecuária em geral, como se pode comprovar pelo dinamismo da Agricultura Patronal-Capitalista no </w:t>
      </w:r>
      <w:r>
        <w:rPr>
          <w:color w:val="000000"/>
        </w:rPr>
        <w:lastRenderedPageBreak/>
        <w:t>Brasil. A despeito das polêmicas (sempre presentes nos temas das Ciências Sociais e Humanas),</w:t>
      </w:r>
      <w:r w:rsidR="0058730F">
        <w:rPr>
          <w:color w:val="000000"/>
        </w:rPr>
        <w:t xml:space="preserve"> analistas das mais distintas orientações teóricas sinalizam num mesmo sentido: um país/região/território que apresenta vantagens competitivas na agricultura deveria, a princípio, apresentar vantagens para distintos estratos de estabelecimentos, desde que cada um deles se especializasse em produtos consistentes com suas dotações relativas de fatores;</w:t>
      </w:r>
    </w:p>
    <w:p w14:paraId="3780ECB8" w14:textId="508260A4" w:rsidR="0058730F" w:rsidRDefault="0058730F" w:rsidP="00E037FD">
      <w:pPr>
        <w:pStyle w:val="PargrafodaLista"/>
        <w:numPr>
          <w:ilvl w:val="0"/>
          <w:numId w:val="7"/>
        </w:numPr>
        <w:rPr>
          <w:color w:val="000000"/>
        </w:rPr>
      </w:pPr>
      <w:r>
        <w:rPr>
          <w:color w:val="000000"/>
        </w:rPr>
        <w:t xml:space="preserve">A inércia é um fator marcante e estrutural da dinâmica agropecuária. Sem planejamento, é praticamente impossível uma reconversão produtiva territorial. Especialmente se a demanda evolui de tal forma a garantir alguma rentabilidade em atividades que, a princípio, não são as mais adequadas à disponibilidade relativa de recursos dos produtores rurais predominantes em um dado território; </w:t>
      </w:r>
    </w:p>
    <w:p w14:paraId="4CD21503" w14:textId="756249AF" w:rsidR="00572BC1" w:rsidRDefault="0058730F" w:rsidP="00572BC1">
      <w:pPr>
        <w:ind w:firstLine="708"/>
        <w:rPr>
          <w:color w:val="000000"/>
        </w:rPr>
      </w:pPr>
      <w:r w:rsidRPr="00572BC1">
        <w:rPr>
          <w:color w:val="000000"/>
        </w:rPr>
        <w:t xml:space="preserve">Em termos empíricos, as principais conclusões desta primeira etapa – ainda baseada </w:t>
      </w:r>
      <w:r w:rsidR="009B392D">
        <w:rPr>
          <w:color w:val="000000"/>
        </w:rPr>
        <w:t xml:space="preserve">em correlações com indicadores calculados com base nos </w:t>
      </w:r>
      <w:r w:rsidRPr="00572BC1">
        <w:rPr>
          <w:color w:val="000000"/>
        </w:rPr>
        <w:t xml:space="preserve">dados </w:t>
      </w:r>
      <w:r w:rsidR="009B392D">
        <w:rPr>
          <w:color w:val="000000"/>
        </w:rPr>
        <w:t>d</w:t>
      </w:r>
      <w:r w:rsidRPr="00572BC1">
        <w:rPr>
          <w:color w:val="000000"/>
        </w:rPr>
        <w:t>os Censos Agropecuários de 1996 e 2006– foram as de que</w:t>
      </w:r>
      <w:r w:rsidR="00572BC1">
        <w:rPr>
          <w:color w:val="000000"/>
        </w:rPr>
        <w:t xml:space="preserve"> </w:t>
      </w:r>
      <w:r w:rsidR="00572BC1" w:rsidRPr="009B392D">
        <w:rPr>
          <w:rFonts w:cs="Times New Roman"/>
          <w:b/>
          <w:bCs/>
        </w:rPr>
        <w:t>a participaç</w:t>
      </w:r>
      <w:r w:rsidR="009B392D" w:rsidRPr="009B392D">
        <w:rPr>
          <w:rFonts w:cs="Times New Roman"/>
          <w:b/>
          <w:bCs/>
        </w:rPr>
        <w:t>ão</w:t>
      </w:r>
      <w:r w:rsidR="00572BC1" w:rsidRPr="009B392D">
        <w:rPr>
          <w:rFonts w:cs="Times New Roman"/>
          <w:b/>
          <w:bCs/>
        </w:rPr>
        <w:t xml:space="preserve"> percentua</w:t>
      </w:r>
      <w:r w:rsidR="009B392D" w:rsidRPr="009B392D">
        <w:rPr>
          <w:rFonts w:cs="Times New Roman"/>
          <w:b/>
          <w:bCs/>
        </w:rPr>
        <w:t>l</w:t>
      </w:r>
      <w:r w:rsidR="00572BC1" w:rsidRPr="009B392D">
        <w:rPr>
          <w:rFonts w:cs="Times New Roman"/>
          <w:b/>
          <w:bCs/>
        </w:rPr>
        <w:t xml:space="preserve"> da agricultura familiar no VBP agropecuário municipal</w:t>
      </w:r>
      <w:r w:rsidR="00572BC1" w:rsidRPr="00572BC1">
        <w:rPr>
          <w:rFonts w:cs="Times New Roman"/>
        </w:rPr>
        <w:t xml:space="preserve"> e </w:t>
      </w:r>
      <w:r w:rsidR="009B392D" w:rsidRPr="009B392D">
        <w:rPr>
          <w:rFonts w:cs="Times New Roman"/>
          <w:b/>
          <w:bCs/>
        </w:rPr>
        <w:t>a participação percentual das receitas desta mesma agricultura no</w:t>
      </w:r>
      <w:r w:rsidR="00572BC1" w:rsidRPr="009B392D">
        <w:rPr>
          <w:rFonts w:cs="Times New Roman"/>
          <w:b/>
          <w:bCs/>
        </w:rPr>
        <w:t xml:space="preserve"> conjunto das receitas monetárias dos estabelecimentos agropecuários</w:t>
      </w:r>
    </w:p>
    <w:p w14:paraId="00E570ED" w14:textId="00E3AE3D" w:rsidR="00572BC1" w:rsidRPr="00572BC1" w:rsidRDefault="00572BC1" w:rsidP="00393F70">
      <w:pPr>
        <w:pStyle w:val="PargrafodaLista"/>
        <w:numPr>
          <w:ilvl w:val="0"/>
          <w:numId w:val="8"/>
        </w:numPr>
      </w:pPr>
      <w:r w:rsidRPr="00572BC1">
        <w:t>são positivamente, fortemente e significativamente correlacionadas à população ocupada por área (o que corrobora a hipótese de que a agricultura familiar é relativamente abundante em mão de obra);</w:t>
      </w:r>
    </w:p>
    <w:p w14:paraId="5BAFBA75" w14:textId="0F09E668" w:rsidR="00572BC1" w:rsidRDefault="00572BC1" w:rsidP="00393F70">
      <w:pPr>
        <w:pStyle w:val="PargrafodaLista"/>
        <w:numPr>
          <w:ilvl w:val="0"/>
          <w:numId w:val="8"/>
        </w:numPr>
        <w:rPr>
          <w:color w:val="000000"/>
        </w:rPr>
      </w:pPr>
      <w:r w:rsidRPr="00572BC1">
        <w:rPr>
          <w:color w:val="000000"/>
        </w:rPr>
        <w:t xml:space="preserve">a especialização em lavoura temporária está associada a </w:t>
      </w:r>
      <w:r w:rsidRPr="009B392D">
        <w:rPr>
          <w:b/>
          <w:bCs/>
          <w:color w:val="000000"/>
        </w:rPr>
        <w:t>ganhos no VAB</w:t>
      </w:r>
      <w:r w:rsidRPr="00572BC1">
        <w:rPr>
          <w:color w:val="000000"/>
        </w:rPr>
        <w:t xml:space="preserve"> Agrícola</w:t>
      </w:r>
      <w:r w:rsidR="009B392D">
        <w:rPr>
          <w:color w:val="000000"/>
        </w:rPr>
        <w:t>,</w:t>
      </w:r>
      <w:r w:rsidRPr="00572BC1">
        <w:rPr>
          <w:color w:val="000000"/>
        </w:rPr>
        <w:t xml:space="preserve"> </w:t>
      </w:r>
      <w:r w:rsidR="009B392D">
        <w:rPr>
          <w:color w:val="000000"/>
        </w:rPr>
        <w:t xml:space="preserve">mas a </w:t>
      </w:r>
      <w:r w:rsidR="009B392D" w:rsidRPr="009B392D">
        <w:rPr>
          <w:b/>
          <w:bCs/>
          <w:color w:val="000000"/>
        </w:rPr>
        <w:t>perdas mais significativas na população rural</w:t>
      </w:r>
      <w:r w:rsidR="009B392D">
        <w:rPr>
          <w:color w:val="000000"/>
        </w:rPr>
        <w:t xml:space="preserve"> (</w:t>
      </w:r>
      <w:r w:rsidRPr="00572BC1">
        <w:rPr>
          <w:color w:val="000000"/>
        </w:rPr>
        <w:t>exacerba o êxodo rural</w:t>
      </w:r>
      <w:r w:rsidR="009B392D">
        <w:rPr>
          <w:color w:val="000000"/>
        </w:rPr>
        <w:t>)</w:t>
      </w:r>
      <w:r w:rsidRPr="00572BC1">
        <w:rPr>
          <w:color w:val="000000"/>
        </w:rPr>
        <w:t>;</w:t>
      </w:r>
    </w:p>
    <w:p w14:paraId="551A2C18" w14:textId="61EBAC6F" w:rsidR="00572BC1" w:rsidRPr="00572BC1" w:rsidRDefault="00572BC1" w:rsidP="00393F70">
      <w:pPr>
        <w:pStyle w:val="PargrafodaLista"/>
        <w:numPr>
          <w:ilvl w:val="0"/>
          <w:numId w:val="8"/>
        </w:numPr>
        <w:rPr>
          <w:color w:val="000000"/>
        </w:rPr>
      </w:pPr>
      <w:r w:rsidRPr="00572BC1">
        <w:t>são negativamente, fortemente e significativamente correlacionadas com</w:t>
      </w:r>
      <w:r>
        <w:t xml:space="preserve"> a: 6.1)</w:t>
      </w:r>
      <w:r w:rsidRPr="00572BC1">
        <w:t xml:space="preserve"> participação da agricultura </w:t>
      </w:r>
      <w:r w:rsidRPr="009B392D">
        <w:rPr>
          <w:b/>
          <w:bCs/>
        </w:rPr>
        <w:t>temporária</w:t>
      </w:r>
      <w:r w:rsidRPr="00572BC1">
        <w:t xml:space="preserve"> no VAB municipal; </w:t>
      </w:r>
      <w:r>
        <w:t>6.2</w:t>
      </w:r>
      <w:r w:rsidRPr="00572BC1">
        <w:t xml:space="preserve">) participação do </w:t>
      </w:r>
      <w:r w:rsidRPr="009B392D">
        <w:rPr>
          <w:b/>
          <w:bCs/>
        </w:rPr>
        <w:t>arroz</w:t>
      </w:r>
      <w:r w:rsidRPr="00572BC1">
        <w:t xml:space="preserve"> no VAB municipal; </w:t>
      </w:r>
      <w:r>
        <w:t>6.3</w:t>
      </w:r>
      <w:r w:rsidRPr="00572BC1">
        <w:t xml:space="preserve">) participação da </w:t>
      </w:r>
      <w:r w:rsidRPr="009B392D">
        <w:rPr>
          <w:b/>
          <w:bCs/>
        </w:rPr>
        <w:t>soja</w:t>
      </w:r>
      <w:r w:rsidRPr="00572BC1">
        <w:t xml:space="preserve"> no VAB municipal; e </w:t>
      </w:r>
      <w:r>
        <w:t>6.4</w:t>
      </w:r>
      <w:r w:rsidRPr="00572BC1">
        <w:t xml:space="preserve">) participação da </w:t>
      </w:r>
      <w:r w:rsidRPr="009B392D">
        <w:rPr>
          <w:b/>
          <w:bCs/>
        </w:rPr>
        <w:t>cana</w:t>
      </w:r>
      <w:r w:rsidRPr="00572BC1">
        <w:t xml:space="preserve"> no VAB municipal</w:t>
      </w:r>
      <w:r w:rsidR="009B392D">
        <w:t>;</w:t>
      </w:r>
    </w:p>
    <w:p w14:paraId="0B7F6145" w14:textId="396DCDC6" w:rsidR="00572BC1" w:rsidRPr="009B392D" w:rsidRDefault="00572BC1" w:rsidP="00393F70">
      <w:pPr>
        <w:pStyle w:val="PargrafodaLista"/>
        <w:numPr>
          <w:ilvl w:val="0"/>
          <w:numId w:val="8"/>
        </w:numPr>
        <w:rPr>
          <w:color w:val="000000"/>
        </w:rPr>
      </w:pPr>
      <w:r w:rsidRPr="00572BC1">
        <w:lastRenderedPageBreak/>
        <w:t xml:space="preserve">Dentre as principais culturas temporárias, a única que apresenta uma correlação positiva com </w:t>
      </w:r>
      <w:r w:rsidR="009B392D">
        <w:t>as duas</w:t>
      </w:r>
      <w:r w:rsidRPr="00572BC1">
        <w:t xml:space="preserve"> variáveis dependentes </w:t>
      </w:r>
      <w:r w:rsidR="009B392D">
        <w:t>citadas acima é a</w:t>
      </w:r>
      <w:r w:rsidRPr="00572BC1">
        <w:t xml:space="preserve"> cultura do fumo. Essa aparente exceção, contudo, é facilmente explicável pelo fato de que a cultura do fumo é altamente exigente em trabalho e ocupa a mão de obra por quase todo o ano, ao contrário da maior parte de cereais e leguminosas. Na verdade, tabaco, cana e algodão são culturas que se encontram numa espécie de limbo entre as lavouras temporárias e permanentes, sendo, todas, altamente demandantes de trabalho.</w:t>
      </w:r>
      <w:r w:rsidRPr="00572BC1">
        <w:rPr>
          <w:rStyle w:val="Caracteresdenotaderodap"/>
        </w:rPr>
        <w:footnoteReference w:id="17"/>
      </w:r>
      <w:r w:rsidRPr="00572BC1">
        <w:t xml:space="preserve"> </w:t>
      </w:r>
    </w:p>
    <w:p w14:paraId="22503DC8" w14:textId="76B1C5FD" w:rsidR="009B392D" w:rsidRPr="00572BC1" w:rsidRDefault="009B392D" w:rsidP="00393F70">
      <w:pPr>
        <w:pStyle w:val="PargrafodaLista"/>
        <w:numPr>
          <w:ilvl w:val="0"/>
          <w:numId w:val="8"/>
        </w:numPr>
        <w:rPr>
          <w:color w:val="000000"/>
        </w:rPr>
      </w:pPr>
      <w:r w:rsidRPr="00572BC1">
        <w:t xml:space="preserve">Não existe qualquer correlação expressiva, seja positiva ou negativa, entre a participação global (agregada) da lavoura permanente no VAB municipal e nossas variáveis dependentes. Esse fenômeno parece “se explicar” pelo fato de as diversas culturas permanentes apresentarem relações muito distintas com as percentagens de VBP e Receitas Totais apropriadas pela Agricultura Familiar. Enquanto café e maçã apresentam correlações negativas altamente significativas com essas variáveis, quanto maior a participação da laranja e da uva (bem como de “outras frutas” e da erva-mate) no VAB municipal, tanto maior a apropriação percentual de receitas pela agricultura não capitalista. Vale observar que essa “troca de sinais” se faz acompanhar de uma outra: café e maçã apresentam uma correlação negativa significativa com o indicador “PO/ha"; o contrário ocorrendo com laranja e uva. Tendo em vista que o café é, notoriamente, uma atividade intensiva em mão de obra (assim como a fruticultura em geral, inclusive a da maçã), acreditamos que essa correlação negativa se explique, antes, por determinações históricas (que levaram à ocupação de tais nichos produtivos pela agricultura patronal) do que por quaisquer determinações de ordem técnica ou de padrão de produção. Essa </w:t>
      </w:r>
      <w:r w:rsidRPr="00572BC1">
        <w:lastRenderedPageBreak/>
        <w:t>seria, do nosso ponto de vista, mais uma manifestação da “</w:t>
      </w:r>
      <w:proofErr w:type="spellStart"/>
      <w:r w:rsidRPr="00572BC1">
        <w:t>subeficiência</w:t>
      </w:r>
      <w:proofErr w:type="spellEnd"/>
      <w:r w:rsidRPr="00572BC1">
        <w:t xml:space="preserve"> alocativa do mercado</w:t>
      </w:r>
      <w:r>
        <w:rPr>
          <w:rStyle w:val="Refdenotaderodap"/>
        </w:rPr>
        <w:footnoteReference w:id="18"/>
      </w:r>
      <w:r>
        <w:t xml:space="preserve">. </w:t>
      </w:r>
    </w:p>
    <w:p w14:paraId="0C7FDBA9" w14:textId="2C00ED4A" w:rsidR="004C0E6E" w:rsidRPr="00976AB4" w:rsidRDefault="00A3223E" w:rsidP="009B392D">
      <w:pPr>
        <w:pStyle w:val="PargrafodaLista"/>
        <w:numPr>
          <w:ilvl w:val="0"/>
          <w:numId w:val="1"/>
        </w:numPr>
        <w:rPr>
          <w:b/>
          <w:bCs/>
          <w:color w:val="000000"/>
          <w:sz w:val="28"/>
          <w:szCs w:val="28"/>
        </w:rPr>
      </w:pPr>
      <w:r w:rsidRPr="00976AB4">
        <w:rPr>
          <w:b/>
          <w:bCs/>
          <w:color w:val="000000"/>
          <w:sz w:val="28"/>
          <w:szCs w:val="28"/>
        </w:rPr>
        <w:t>Novos</w:t>
      </w:r>
      <w:r w:rsidRPr="00976AB4">
        <w:rPr>
          <w:color w:val="000000"/>
          <w:sz w:val="28"/>
          <w:szCs w:val="28"/>
        </w:rPr>
        <w:t xml:space="preserve"> </w:t>
      </w:r>
      <w:r w:rsidRPr="00976AB4">
        <w:rPr>
          <w:b/>
          <w:bCs/>
          <w:color w:val="000000"/>
          <w:sz w:val="28"/>
          <w:szCs w:val="28"/>
        </w:rPr>
        <w:t>resultados: a evolução da pesquisa nos anos de 2012 e 2013</w:t>
      </w:r>
    </w:p>
    <w:p w14:paraId="1FE06993" w14:textId="2078617A" w:rsidR="0019183A" w:rsidRDefault="00A3223E" w:rsidP="00A3223E">
      <w:pPr>
        <w:ind w:firstLine="708"/>
      </w:pPr>
      <w:r>
        <w:t xml:space="preserve">A despeito da cessação de todo e qualquer apoio financeiro à pesquisa a partir do março de 2011 (por parte do CNPq) e a partir de </w:t>
      </w:r>
      <w:r w:rsidR="00EE6D77">
        <w:t>agosto de 2011 (por parte do IPEA) a pesquisa não sofreu solução de continuidade. Evidentemente, a perda do apoio do IPEA a afetou, pois não contávamos mais com qualquer equipe de apoio. Igualmente bem, o fim do financiamento por parte do CNPq alterou a velocidade e dedicação do nosso trabalho, agora individual</w:t>
      </w:r>
      <w:r w:rsidR="008816CA">
        <w:t xml:space="preserve"> e não remunerado</w:t>
      </w:r>
      <w:r w:rsidR="008816CA">
        <w:rPr>
          <w:rStyle w:val="Refdenotaderodap"/>
        </w:rPr>
        <w:footnoteReference w:id="19"/>
      </w:r>
      <w:r w:rsidR="008816CA">
        <w:t>.</w:t>
      </w:r>
      <w:r w:rsidR="0019183A">
        <w:t xml:space="preserve"> Felizmente, nosso interesse pelo tema do papel da Agricultura Familiar na promoção do desenvolvimento regional se impôs sobre a carência de apoio dos órgãos responsáveis pela promoção da pesquisa no país e conseguimos avançar com a mesma. Não obstante, ela sofreu uma inflexão.</w:t>
      </w:r>
    </w:p>
    <w:p w14:paraId="76695779" w14:textId="3B566B9F" w:rsidR="0019183A" w:rsidRDefault="0019183A" w:rsidP="00A3223E">
      <w:pPr>
        <w:ind w:firstLine="708"/>
      </w:pPr>
      <w:r>
        <w:t xml:space="preserve"> Os resultados que havíamos obtido a partir da análise dos Censos Agropecuários ficaram muito aquém de nossas expectativas. E no ano de 2012 o IBGE liberou os </w:t>
      </w:r>
      <w:proofErr w:type="spellStart"/>
      <w:r>
        <w:t>Microdados</w:t>
      </w:r>
      <w:proofErr w:type="spellEnd"/>
      <w:r>
        <w:t xml:space="preserve"> do Censo Demográfico de 2010, o que viabilizou uma nova abordagem à questão da renda rural e do êxodo rural. Além disso, passamos a utilizar informações de duas outras Pesquisas do IBGE sobre a produção agropecuária: a PAM (Produção Agrícola Municipal) e a PPM (Pesquisa Pecuária Municipal). Além disso, a série com dados do Valor Agregado Bruto (total e agropecuário) dos municípios brasileiros já havia passado </w:t>
      </w:r>
      <w:r>
        <w:lastRenderedPageBreak/>
        <w:t xml:space="preserve">por atualização, de sorte que, ao final de 2012, contávamos com informações sobre os </w:t>
      </w:r>
      <w:proofErr w:type="spellStart"/>
      <w:r>
        <w:t>VABs</w:t>
      </w:r>
      <w:proofErr w:type="spellEnd"/>
      <w:r>
        <w:t xml:space="preserve"> dos municípios para o ano de 2010, data do Censo Demográfico mais recente. </w:t>
      </w:r>
    </w:p>
    <w:p w14:paraId="0E22F8F9" w14:textId="77777777" w:rsidR="00ED1F97" w:rsidRDefault="0019183A" w:rsidP="00A3223E">
      <w:pPr>
        <w:ind w:firstLine="708"/>
      </w:pPr>
      <w:r>
        <w:t xml:space="preserve">Como as bases de dados eram novas, as variáveis também sofreram alteração. As variáveis dependentes deixaram de ser referidas diretamente à Agricultura Familiar. Afinal, nem o Censo Demográfico, nem a PPM ou a PAM, discriminam as informações com base na distinção/classificação dos estabelecimentos agrícolas em “familiares” ou “patronais”. Após algumas tentativas de compatibilização das bases, chegamos </w:t>
      </w:r>
      <w:r w:rsidR="00ED1F97">
        <w:t xml:space="preserve">à conclusão que o melhor a fazer seria abandonar toda e qualquer referência aos Censos Agropecuários e operar exclusivamente com as novas bases: Censo Demográfico, PAM, PPM e Contas Municipais. </w:t>
      </w:r>
    </w:p>
    <w:p w14:paraId="62598909" w14:textId="77777777" w:rsidR="00ED1F97" w:rsidRDefault="00ED1F97" w:rsidP="00A3223E">
      <w:pPr>
        <w:ind w:firstLine="708"/>
      </w:pPr>
      <w:r>
        <w:t xml:space="preserve">Com as novas bases, foram definidas 3 novas variáveis dependentes, cada uma delas estratificada em “total” e “rural”: 1) taxa de variação da renda monetária declarada pelos munícipes (total e rural) nos Censos Demográficos entre 2000 e 2010; 2) taxa de variação do Valor Agregado Bruto (total e agropecuário) dos municípios entre 2000 e 2010; 3) taxa de variação da população (total e rural) dos municípios entre 2000 e 2010. </w:t>
      </w:r>
    </w:p>
    <w:p w14:paraId="7D6B8F38" w14:textId="69AA3D55" w:rsidR="007A7C7C" w:rsidRDefault="00ED1F97" w:rsidP="007A7C7C">
      <w:pPr>
        <w:ind w:firstLine="708"/>
      </w:pPr>
      <w:r>
        <w:t xml:space="preserve">Igualmente bem, alteramos as variáveis dependentes. Elas passaram a ser: 1) a participação do valor bruto da produção (tal como informada </w:t>
      </w:r>
      <w:r w:rsidR="00510D92">
        <w:t xml:space="preserve">na PAM) </w:t>
      </w:r>
      <w:r>
        <w:t>dos mais distintos produtos agrícolas no V</w:t>
      </w:r>
      <w:r w:rsidR="00510D92">
        <w:t>A</w:t>
      </w:r>
      <w:r>
        <w:t xml:space="preserve">B </w:t>
      </w:r>
      <w:r w:rsidR="00510D92">
        <w:t xml:space="preserve">agropecuário </w:t>
      </w:r>
      <w:r>
        <w:t>municipal em 20</w:t>
      </w:r>
      <w:r w:rsidR="00510D92">
        <w:t>00 e em 2010</w:t>
      </w:r>
      <w:r w:rsidR="00510D92">
        <w:rPr>
          <w:rStyle w:val="Refdenotaderodap"/>
        </w:rPr>
        <w:footnoteReference w:id="20"/>
      </w:r>
      <w:r w:rsidR="00510D92">
        <w:t>; 2) a taxa de variação do VBP destes mesmos produtos</w:t>
      </w:r>
      <w:r w:rsidR="00D273CD">
        <w:t xml:space="preserve"> entre 2000 e 2010</w:t>
      </w:r>
      <w:r w:rsidR="00510D92">
        <w:t xml:space="preserve">; 3) a taxa de variação da </w:t>
      </w:r>
      <w:r w:rsidR="00510D92" w:rsidRPr="00D273CD">
        <w:rPr>
          <w:b/>
          <w:bCs/>
        </w:rPr>
        <w:t>participação</w:t>
      </w:r>
      <w:r w:rsidR="00510D92">
        <w:t xml:space="preserve"> d</w:t>
      </w:r>
      <w:r w:rsidR="00D273CD">
        <w:t xml:space="preserve">o VBP de cada produto agrícola </w:t>
      </w:r>
      <w:r w:rsidR="00510D92">
        <w:t>no VAB agropecuári</w:t>
      </w:r>
      <w:r w:rsidR="00D273CD">
        <w:t xml:space="preserve">o municipal entre 2000 </w:t>
      </w:r>
      <w:r w:rsidR="00D273CD">
        <w:lastRenderedPageBreak/>
        <w:t xml:space="preserve">e 2010; 4) </w:t>
      </w:r>
      <w:r>
        <w:t xml:space="preserve"> </w:t>
      </w:r>
      <w:r w:rsidR="00D273CD">
        <w:t>a razão entre o número de animais das distintas pecuárias (tal como informada na PPM) e o VAB agropecuário municipal</w:t>
      </w:r>
      <w:r w:rsidR="00D273CD">
        <w:rPr>
          <w:rStyle w:val="Refdenotaderodap"/>
        </w:rPr>
        <w:footnoteReference w:id="21"/>
      </w:r>
      <w:r w:rsidR="00D273CD">
        <w:t xml:space="preserve">; </w:t>
      </w:r>
      <w:r w:rsidR="007A7C7C">
        <w:t xml:space="preserve">5) a taxa de variação do número de cabeças dos distintos rebanhos entre 2000 e 2010; 3) a taxa de variação da </w:t>
      </w:r>
      <w:r w:rsidR="007A7C7C">
        <w:rPr>
          <w:b/>
          <w:bCs/>
        </w:rPr>
        <w:t>razão</w:t>
      </w:r>
      <w:r w:rsidR="007A7C7C">
        <w:t xml:space="preserve"> entre número de cabeças e VAB agropecuário municipal entre 2000 e 2010. </w:t>
      </w:r>
    </w:p>
    <w:p w14:paraId="42FFD034" w14:textId="7923C9C7" w:rsidR="007A7C7C" w:rsidRDefault="007A7C7C" w:rsidP="007A7C7C">
      <w:pPr>
        <w:ind w:firstLine="708"/>
      </w:pPr>
      <w:r>
        <w:t xml:space="preserve">Para além destas variáveis diretamente relacionadas à especialização agropecuária, introduzimos, ainda, variáveis sobre </w:t>
      </w:r>
      <w:r w:rsidR="00C54702">
        <w:t xml:space="preserve">renda, acesso aos meios de produção e macrorregião de referência. Mais especificamente, tomamos a renda per capita nominal média, o desvio padrão desta mesma renda, o coeficiente de variação da renda per capita e sua taxa de crescimento. Todas as variáveis foram calculadas para 2000 e 2010 (ou para a variação entre os dois anos), bem como para o conjunto do município e apenas para os domiciliados rurais. No quesito acesso aos meios de produção, tomamos por referência o tamanho médio dos estabelecimentos rurais em 2000 e 2010.  No quesito macrorregião, diferenciamos os municípios em função do Estado a que estão associados (Paraná, Santa Catarina ou Rio Grande do Sul). Os resultados do conjunto de testes aplicados encontram-se no Anexo 4 a este relatório. Mas apresentamos </w:t>
      </w:r>
      <w:r w:rsidR="000E48C9">
        <w:t xml:space="preserve">nos três quadros </w:t>
      </w:r>
      <w:r w:rsidR="00C54702">
        <w:t xml:space="preserve">abaixo </w:t>
      </w:r>
      <w:r w:rsidR="000E48C9">
        <w:t>alguns d</w:t>
      </w:r>
      <w:r w:rsidR="00C54702">
        <w:t xml:space="preserve">os resultados mais relevantes. </w:t>
      </w:r>
    </w:p>
    <w:p w14:paraId="6D00BDB8" w14:textId="0576B2E9" w:rsidR="001D3C2A" w:rsidRPr="00A3223E" w:rsidRDefault="001D3C2A" w:rsidP="007A7C7C">
      <w:pPr>
        <w:ind w:firstLine="708"/>
      </w:pPr>
      <w:r>
        <w:t xml:space="preserve">No Quadro 1, abaixo, estão listadas as correlações mais expressivas e significativas com a taxas de variação da renda total (na porção esquerda do quadro) e rural (na porção direita do mesmo quadro), sejam elas as correlações positivas (na parte superior do quadro), sejam as correlações negativas (na parte inferior do quadro). </w:t>
      </w:r>
    </w:p>
    <w:p w14:paraId="434B3C17" w14:textId="43CCAB4A" w:rsidR="00976AB4" w:rsidRDefault="00976AB4" w:rsidP="00976AB4">
      <w:pPr>
        <w:jc w:val="center"/>
      </w:pPr>
      <w:r>
        <w:lastRenderedPageBreak/>
        <w:t xml:space="preserve">Quadro </w:t>
      </w:r>
      <w:r w:rsidR="00C71746">
        <w:fldChar w:fldCharType="begin"/>
      </w:r>
      <w:r w:rsidR="00C71746">
        <w:instrText xml:space="preserve"> SEQ Quadro \* ARABIC </w:instrText>
      </w:r>
      <w:r w:rsidR="00C71746">
        <w:fldChar w:fldCharType="separate"/>
      </w:r>
      <w:r>
        <w:rPr>
          <w:noProof/>
        </w:rPr>
        <w:t>1</w:t>
      </w:r>
      <w:r w:rsidR="00C71746">
        <w:rPr>
          <w:noProof/>
        </w:rPr>
        <w:fldChar w:fldCharType="end"/>
      </w:r>
      <w:r>
        <w:t xml:space="preserve"> - Correlações Mais Expressivas</w:t>
      </w:r>
      <w:r>
        <w:rPr>
          <w:noProof/>
        </w:rPr>
        <w:t xml:space="preserve"> com a Variação da Renda Total e Urbana</w:t>
      </w:r>
    </w:p>
    <w:p w14:paraId="3A9C0A2C" w14:textId="5064699E" w:rsidR="00A3223E" w:rsidRDefault="00DB5D19" w:rsidP="001D3C2A">
      <w:pPr>
        <w:pStyle w:val="SemEspaamento"/>
        <w:jc w:val="center"/>
      </w:pPr>
      <w:r w:rsidRPr="00DB5D19">
        <w:rPr>
          <w:noProof/>
        </w:rPr>
        <w:drawing>
          <wp:inline distT="0" distB="0" distL="0" distR="0" wp14:anchorId="432CECD4" wp14:editId="17BE7F92">
            <wp:extent cx="4724400" cy="2834640"/>
            <wp:effectExtent l="0" t="0" r="0" b="3810"/>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24400" cy="2834640"/>
                    </a:xfrm>
                    <a:prstGeom prst="rect">
                      <a:avLst/>
                    </a:prstGeom>
                    <a:noFill/>
                    <a:ln>
                      <a:noFill/>
                    </a:ln>
                  </pic:spPr>
                </pic:pic>
              </a:graphicData>
            </a:graphic>
          </wp:inline>
        </w:drawing>
      </w:r>
    </w:p>
    <w:p w14:paraId="3734ACFD" w14:textId="280F1591" w:rsidR="00243A71" w:rsidRDefault="00243A71" w:rsidP="001D3C2A">
      <w:pPr>
        <w:pStyle w:val="SemEspaamento"/>
        <w:jc w:val="center"/>
      </w:pPr>
      <w:r>
        <w:t>FDB: Censo Demográfico 2000 e 2010; Pesquisa Pecuária Municipal (PPM); Produção Agrícola Municipal (PAM) - IBGE</w:t>
      </w:r>
    </w:p>
    <w:p w14:paraId="27E58C1A" w14:textId="2C3C943E" w:rsidR="001D3C2A" w:rsidRDefault="001D3C2A" w:rsidP="00A3223E">
      <w:pPr>
        <w:ind w:firstLine="708"/>
      </w:pPr>
    </w:p>
    <w:p w14:paraId="2B0FDD59" w14:textId="4128C8A4" w:rsidR="001D3C2A" w:rsidRDefault="00DB5D19" w:rsidP="00A3223E">
      <w:pPr>
        <w:ind w:firstLine="708"/>
      </w:pPr>
      <w:r>
        <w:t>A correlação mais forte e positiva com a taxa de variação da renda total é a variação da renda rural. De um lado, esta relação é tautológica, uma vez que a renda rural é parte da renda total. Mas ela diz mais do que isto: fala do encadeamento entre a produção e renda rural e a renda urbana na maior parte dos municípios dos Estados do Sul do Brasil. A segunda correlação mais forte da variação da renda total é com a taxa de variação dos coeficientes de variação da renda urbana (</w:t>
      </w:r>
      <w:proofErr w:type="spellStart"/>
      <w:r>
        <w:t>correl</w:t>
      </w:r>
      <w:proofErr w:type="spellEnd"/>
      <w:r>
        <w:t xml:space="preserve"> 0,41) e da renda rural (</w:t>
      </w:r>
      <w:proofErr w:type="spellStart"/>
      <w:r>
        <w:t>correl</w:t>
      </w:r>
      <w:proofErr w:type="spellEnd"/>
      <w:r>
        <w:t xml:space="preserve"> 0,23). Estas correlações só podem ser entendidas quando observamos as duas correlações mais baixas, na porção inferior da planilha. O que elas nos dizem é que a variação da renda é tanto menor quanto maior for a desigualdade (a concentração) da renda no período inicial, seja da renda total (</w:t>
      </w:r>
      <w:proofErr w:type="spellStart"/>
      <w:r>
        <w:t>correl</w:t>
      </w:r>
      <w:proofErr w:type="spellEnd"/>
      <w:r>
        <w:t xml:space="preserve"> – 0,417), seja rural (corre -0,259). Vale dizer: os municípios com distribuição de renda mais equânime tiveram um desempenho melhor ao longo da década. Mas este mesmo processo de crescimento e desenvolvimento levou a uma distribuição </w:t>
      </w:r>
      <w:r>
        <w:lastRenderedPageBreak/>
        <w:t>menos equânime ao final do processo. Tais resultados são coerentes com a literatura sobre desenvolvimento local e regional</w:t>
      </w:r>
      <w:r>
        <w:rPr>
          <w:rStyle w:val="Refdenotaderodap"/>
        </w:rPr>
        <w:footnoteReference w:id="22"/>
      </w:r>
      <w:r>
        <w:t xml:space="preserve">. </w:t>
      </w:r>
    </w:p>
    <w:p w14:paraId="3FD2D8F7" w14:textId="1B07AE9D" w:rsidR="001D3C2A" w:rsidRDefault="00932AEB" w:rsidP="00A3223E">
      <w:pPr>
        <w:ind w:firstLine="708"/>
      </w:pPr>
      <w:r>
        <w:t xml:space="preserve">Duas correlações chamam a atenção das diferenças geográficas de desempenho: </w:t>
      </w:r>
      <w:proofErr w:type="spellStart"/>
      <w:r>
        <w:t>eRS</w:t>
      </w:r>
      <w:proofErr w:type="spellEnd"/>
      <w:r>
        <w:t xml:space="preserve"> (o município pertence ao Estado do RS) e </w:t>
      </w:r>
      <w:proofErr w:type="spellStart"/>
      <w:r>
        <w:t>eSC</w:t>
      </w:r>
      <w:proofErr w:type="spellEnd"/>
      <w:r>
        <w:t xml:space="preserve"> (o município pertence ao Estado de SC). A primeira, encontra-se entre as mais baixas correlações com a variação da renda</w:t>
      </w:r>
      <w:r w:rsidR="007F2597">
        <w:t xml:space="preserve"> total e rural</w:t>
      </w:r>
      <w:r>
        <w:t>, indicando que estar localizado no RS é um fator depressor do crescimento da renda. A correlação</w:t>
      </w:r>
      <w:r w:rsidR="007F2597">
        <w:t xml:space="preserve"> </w:t>
      </w:r>
      <w:proofErr w:type="spellStart"/>
      <w:r w:rsidR="007F2597">
        <w:t>eSC</w:t>
      </w:r>
      <w:proofErr w:type="spellEnd"/>
      <w:r w:rsidR="007F2597">
        <w:t xml:space="preserve">, por oposição, desponta como uma das mais elevadas, positivas e significativas com a variação da renda total e rural. </w:t>
      </w:r>
    </w:p>
    <w:p w14:paraId="7491BC4E" w14:textId="77777777" w:rsidR="00976AB4" w:rsidRDefault="00976AB4" w:rsidP="00976AB4">
      <w:pPr>
        <w:ind w:firstLine="708"/>
      </w:pPr>
      <w:r>
        <w:t xml:space="preserve">Infelizmente, as correlações com a produção agropecuária ainda se mostraram dúbias. Em linhas gerais, os resultados vão na mesma direção da pesquisa com o Censo Agropecuário: a lavoura temporária e a bovinocultura de corte deprimem a taxa de variação da renda, enquanto a produção de pequenos animais e de lavoura permanente ou </w:t>
      </w:r>
      <w:proofErr w:type="spellStart"/>
      <w:r>
        <w:t>semi-permanente</w:t>
      </w:r>
      <w:proofErr w:type="spellEnd"/>
      <w:r>
        <w:t xml:space="preserve"> (como o tabaco) amplia a renda. A ambiguidade, contudo, apresenta-se no quesito “variação da participação no VBP. O caso do arroz é típico: aqueles municípios que apresentavam uma elevada participação do arroz no VAB total no início do período (VBPArroz1) apresentaram uma performance pior, quando avaliados pela taxa de crescimento da renda. Não obstante, aqueles municípios que apresentaram um grande crescimento da participação do arroz no VAB municipal (VBPArroz1-2)</w:t>
      </w:r>
      <w:r>
        <w:rPr>
          <w:rStyle w:val="Refdenotaderodap"/>
        </w:rPr>
        <w:footnoteReference w:id="23"/>
      </w:r>
      <w:r>
        <w:t xml:space="preserve"> tiveram um crescimento expressivo na renda total entre 2000 e 2010 (</w:t>
      </w:r>
      <w:proofErr w:type="spellStart"/>
      <w:r>
        <w:t>correl</w:t>
      </w:r>
      <w:proofErr w:type="spellEnd"/>
      <w:r>
        <w:t xml:space="preserve"> 0,230). Se lemos este resultado à luz do conjunto de informações, indicadores e testes desenvolvidos ao longo da pesquisa, somos levados à conclusão de que, mais uma vez, este resultado está associado às variações sazonais abruptas dos preços dos produtos agrícolas</w:t>
      </w:r>
      <w:r>
        <w:rPr>
          <w:rStyle w:val="Refdenotaderodap"/>
        </w:rPr>
        <w:footnoteReference w:id="24"/>
      </w:r>
      <w:r>
        <w:t xml:space="preserve">. Infelizmente, é </w:t>
      </w:r>
      <w:r>
        <w:lastRenderedPageBreak/>
        <w:t xml:space="preserve">impossível enfrentar o viés associado à variação de preços e rentabilidade quando a variável dependente é a renda monetária disponível nos municípios, pois este dado só é disponibilizado nos Censos Demográficos decenais. </w:t>
      </w:r>
    </w:p>
    <w:p w14:paraId="15F1E34A" w14:textId="77777777" w:rsidR="00976AB4" w:rsidRDefault="00976AB4" w:rsidP="00976AB4">
      <w:pPr>
        <w:ind w:firstLine="708"/>
      </w:pPr>
      <w:r>
        <w:t>Analisemos, agora, as principais correlações encontradas entre a taxa de variação do Valor Agregado Bruto (total e agropecuário) e as variáveis selecionadas/criadas por nós para avaliar a estrutura de especialização produtiva na Agropecuária</w:t>
      </w:r>
    </w:p>
    <w:p w14:paraId="2A9011D1" w14:textId="77777777" w:rsidR="00976AB4" w:rsidRDefault="00976AB4" w:rsidP="00976AB4">
      <w:pPr>
        <w:pStyle w:val="SemEspaamento"/>
      </w:pPr>
    </w:p>
    <w:p w14:paraId="740839E4" w14:textId="77777777" w:rsidR="00976AB4" w:rsidRDefault="00976AB4" w:rsidP="00976AB4">
      <w:pPr>
        <w:pStyle w:val="SemEspaamento"/>
      </w:pPr>
    </w:p>
    <w:p w14:paraId="072CC731" w14:textId="1AE098C2" w:rsidR="00976AB4" w:rsidRDefault="00976AB4" w:rsidP="00976AB4">
      <w:pPr>
        <w:jc w:val="center"/>
      </w:pPr>
      <w:r>
        <w:t xml:space="preserve">Quadro </w:t>
      </w:r>
      <w:r w:rsidR="00C71746">
        <w:fldChar w:fldCharType="begin"/>
      </w:r>
      <w:r w:rsidR="00C71746">
        <w:instrText xml:space="preserve"> SEQ Quadro \* ARABIC </w:instrText>
      </w:r>
      <w:r w:rsidR="00C71746">
        <w:fldChar w:fldCharType="separate"/>
      </w:r>
      <w:r>
        <w:rPr>
          <w:noProof/>
        </w:rPr>
        <w:t>2</w:t>
      </w:r>
      <w:r w:rsidR="00C71746">
        <w:rPr>
          <w:noProof/>
        </w:rPr>
        <w:fldChar w:fldCharType="end"/>
      </w:r>
      <w:r>
        <w:t xml:space="preserve"> - </w:t>
      </w:r>
      <w:r w:rsidRPr="000765BA">
        <w:t>Correlações Mais Expressivas com a Variação d</w:t>
      </w:r>
      <w:r>
        <w:t>o VAB Total e Agropecuário</w:t>
      </w:r>
    </w:p>
    <w:p w14:paraId="7AA1DE27" w14:textId="3513B546" w:rsidR="00976AB4" w:rsidRDefault="00976AB4" w:rsidP="00976AB4">
      <w:pPr>
        <w:pStyle w:val="SemEspaamento"/>
        <w:jc w:val="center"/>
      </w:pPr>
      <w:r w:rsidRPr="00E226FD">
        <w:rPr>
          <w:noProof/>
        </w:rPr>
        <w:drawing>
          <wp:inline distT="0" distB="0" distL="0" distR="0" wp14:anchorId="5FDCAED9" wp14:editId="302C9C51">
            <wp:extent cx="5388429" cy="2799715"/>
            <wp:effectExtent l="0" t="0" r="3175" b="635"/>
            <wp:docPr id="28"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88429" cy="2799715"/>
                    </a:xfrm>
                    <a:prstGeom prst="rect">
                      <a:avLst/>
                    </a:prstGeom>
                    <a:noFill/>
                    <a:ln>
                      <a:noFill/>
                    </a:ln>
                  </pic:spPr>
                </pic:pic>
              </a:graphicData>
            </a:graphic>
          </wp:inline>
        </w:drawing>
      </w:r>
    </w:p>
    <w:p w14:paraId="2C2BB109" w14:textId="77777777" w:rsidR="00243A71" w:rsidRDefault="00243A71" w:rsidP="00243A71">
      <w:pPr>
        <w:pStyle w:val="SemEspaamento"/>
        <w:jc w:val="center"/>
      </w:pPr>
      <w:r>
        <w:t>FDB: Censo Demográfico 2000 e 2010; Pesquisa Pecuária Municipal (PPM); Produção Agrícola Municipal (PAM) - IBGE</w:t>
      </w:r>
    </w:p>
    <w:p w14:paraId="2ED487F6" w14:textId="77777777" w:rsidR="00976AB4" w:rsidRDefault="00976AB4" w:rsidP="00976AB4">
      <w:pPr>
        <w:ind w:firstLine="708"/>
      </w:pPr>
    </w:p>
    <w:p w14:paraId="2A70C3B5" w14:textId="77777777" w:rsidR="00976AB4" w:rsidRDefault="00976AB4" w:rsidP="00976AB4">
      <w:r>
        <w:tab/>
        <w:t xml:space="preserve">Tal como a pesquisa com os dados do Censo Agropecuário haviam demonstrado, a dinâmica do VAB, da renda e da população não são necessariamente convergentes. Desde logo, como fica claro no Quadro 2, acima, a maior correlação com o crescimento do VAB total é o crescimento da participação do VBP da Lavoura Temporária no VAB Agropecuário. As lavouras permanentes ou semipermanentes também ingressam no sistema (através da banana e da cana-de-açúcar) como contribuintes para o crescimento do </w:t>
      </w:r>
      <w:r>
        <w:lastRenderedPageBreak/>
        <w:t>VAB. Igualmente bem, a produção animal, através do rebanho bovino total, o rebanho de vacas ordenhadas e a produção de leite. Mas não há qualquer hierarquia clara entre os setores produtivos. De qualquer forma, no que diz respeito à soja, as determinações são claras: ela é deletéria para o crescimento do VAB total e do VAB agropecuário no médio e longo prazo. Isto parece estar associado ao fato de que os compradores desta oleaginosa preferirem fazer as aquisições em bruto, realizando o beneficiamento longe dos centros produtores, mas próximo aos centros consumidores. Outro elemento interessante é a presença de variáveis geográficas: os municípios do PR são os que apresentam maior probabilidade de apresentarem ganhos expressivos no VAB Agropecuário.</w:t>
      </w:r>
    </w:p>
    <w:p w14:paraId="4310BA57" w14:textId="77777777" w:rsidR="00976AB4" w:rsidRPr="00A3223E" w:rsidRDefault="00976AB4" w:rsidP="00976AB4"/>
    <w:p w14:paraId="1CF37F0A" w14:textId="5CF7DE47" w:rsidR="00976AB4" w:rsidRDefault="00976AB4" w:rsidP="00976AB4">
      <w:pPr>
        <w:jc w:val="center"/>
      </w:pPr>
      <w:r>
        <w:t xml:space="preserve">Quadro </w:t>
      </w:r>
      <w:r w:rsidR="00C71746">
        <w:fldChar w:fldCharType="begin"/>
      </w:r>
      <w:r w:rsidR="00C71746">
        <w:instrText xml:space="preserve"> SEQ Quadro \* ARABIC </w:instrText>
      </w:r>
      <w:r w:rsidR="00C71746">
        <w:fldChar w:fldCharType="separate"/>
      </w:r>
      <w:r>
        <w:rPr>
          <w:noProof/>
        </w:rPr>
        <w:t>3</w:t>
      </w:r>
      <w:r w:rsidR="00C71746">
        <w:rPr>
          <w:noProof/>
        </w:rPr>
        <w:fldChar w:fldCharType="end"/>
      </w:r>
      <w:r>
        <w:t xml:space="preserve"> - </w:t>
      </w:r>
      <w:r w:rsidRPr="005061C0">
        <w:t xml:space="preserve">Correlações Mais Expressivas com a Variação da </w:t>
      </w:r>
      <w:r>
        <w:t xml:space="preserve">População </w:t>
      </w:r>
      <w:r w:rsidRPr="005061C0">
        <w:t>Total e Urbana</w:t>
      </w:r>
    </w:p>
    <w:p w14:paraId="73C96F4C" w14:textId="23336DD4" w:rsidR="00976AB4" w:rsidRDefault="00976AB4" w:rsidP="00976AB4">
      <w:pPr>
        <w:jc w:val="center"/>
        <w:rPr>
          <w:rFonts w:cs="Times New Roman"/>
          <w:color w:val="000000"/>
          <w:szCs w:val="24"/>
        </w:rPr>
      </w:pPr>
      <w:r w:rsidRPr="00BA26A7">
        <w:rPr>
          <w:noProof/>
        </w:rPr>
        <w:drawing>
          <wp:inline distT="0" distB="0" distL="0" distR="0" wp14:anchorId="3A758EF7" wp14:editId="4AFA74C5">
            <wp:extent cx="5355772" cy="2835910"/>
            <wp:effectExtent l="0" t="0" r="0" b="2540"/>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74078" cy="2845603"/>
                    </a:xfrm>
                    <a:prstGeom prst="rect">
                      <a:avLst/>
                    </a:prstGeom>
                    <a:noFill/>
                    <a:ln>
                      <a:noFill/>
                    </a:ln>
                  </pic:spPr>
                </pic:pic>
              </a:graphicData>
            </a:graphic>
          </wp:inline>
        </w:drawing>
      </w:r>
    </w:p>
    <w:p w14:paraId="049FE18A" w14:textId="77777777" w:rsidR="00243A71" w:rsidRDefault="00243A71" w:rsidP="00243A71">
      <w:pPr>
        <w:pStyle w:val="SemEspaamento"/>
        <w:jc w:val="center"/>
      </w:pPr>
      <w:r>
        <w:t>FDB: Censo Demográfico 2000 e 2010; Pesquisa Pecuária Municipal (PPM); Produção Agrícola Municipal (PAM) - IBGE</w:t>
      </w:r>
    </w:p>
    <w:p w14:paraId="07092367" w14:textId="77777777" w:rsidR="00243A71" w:rsidRDefault="00243A71" w:rsidP="00976AB4">
      <w:pPr>
        <w:jc w:val="center"/>
        <w:rPr>
          <w:rFonts w:cs="Times New Roman"/>
          <w:color w:val="000000"/>
          <w:szCs w:val="24"/>
        </w:rPr>
      </w:pPr>
    </w:p>
    <w:p w14:paraId="0237025A" w14:textId="77777777" w:rsidR="00976AB4" w:rsidRDefault="00976AB4" w:rsidP="00976AB4">
      <w:pPr>
        <w:rPr>
          <w:rFonts w:cs="Times New Roman"/>
          <w:color w:val="000000"/>
          <w:szCs w:val="24"/>
        </w:rPr>
      </w:pPr>
      <w:r>
        <w:rPr>
          <w:rFonts w:cs="Times New Roman"/>
          <w:color w:val="000000"/>
          <w:szCs w:val="24"/>
        </w:rPr>
        <w:tab/>
        <w:t xml:space="preserve">A dinâmica populacional vai trazer novos elementos sobre as determinações geográficas: municípios do RS apresentam menor taxa de crescimento total e rural, </w:t>
      </w:r>
      <w:r>
        <w:rPr>
          <w:rFonts w:cs="Times New Roman"/>
          <w:color w:val="000000"/>
          <w:szCs w:val="24"/>
        </w:rPr>
        <w:lastRenderedPageBreak/>
        <w:t xml:space="preserve">enquanto ser município de SC reforça o crescimento da população total (e/ou deprime o decrescimento) da população rural. A população total quanto maior o crescimento da produção de alimentos (feijão) e da lavoura permanente. O campo preserva a população (que cresce ou decresce a taxas inferiores ao padrão regional) quanto maior a produção de pêssegos, fumo e leite. De outro lado, soja, milho e lavoura temporário em geral deprimem a taxa de crescimento da população total. </w:t>
      </w:r>
    </w:p>
    <w:p w14:paraId="1361E634" w14:textId="77777777" w:rsidR="00976AB4" w:rsidRPr="00976AB4" w:rsidRDefault="00976AB4" w:rsidP="00976AB4">
      <w:pPr>
        <w:pStyle w:val="PargrafodaLista"/>
        <w:numPr>
          <w:ilvl w:val="0"/>
          <w:numId w:val="1"/>
        </w:numPr>
        <w:rPr>
          <w:b/>
          <w:bCs/>
          <w:color w:val="000000"/>
          <w:sz w:val="28"/>
          <w:szCs w:val="28"/>
        </w:rPr>
      </w:pPr>
      <w:r w:rsidRPr="00976AB4">
        <w:rPr>
          <w:b/>
          <w:bCs/>
          <w:color w:val="000000"/>
          <w:sz w:val="28"/>
          <w:szCs w:val="28"/>
        </w:rPr>
        <w:t>Considerações finais</w:t>
      </w:r>
    </w:p>
    <w:p w14:paraId="2DC91284" w14:textId="77777777" w:rsidR="00976AB4" w:rsidRDefault="00976AB4" w:rsidP="00976AB4">
      <w:pPr>
        <w:ind w:firstLine="708"/>
        <w:rPr>
          <w:rFonts w:cs="Times New Roman"/>
          <w:color w:val="000000"/>
          <w:szCs w:val="24"/>
        </w:rPr>
      </w:pPr>
      <w:r>
        <w:rPr>
          <w:rFonts w:cs="Times New Roman"/>
          <w:color w:val="000000"/>
          <w:szCs w:val="24"/>
        </w:rPr>
        <w:t xml:space="preserve">A estratégia de construir um novo sistema de indicadores para driblar os problemas que identificamos nos Censos Agropecuários acrescentou determinação à pesquisa e reforçou os resultados preliminares. Mas foi menos conclusiva do que esperávamos incialmente. Este resultado, contudo, não pode ser computado simplesmente como um fracasso. Na realidade, ele nos permitiu entender melhor a resistência dos distintos governos e instâncias públicas em desenvolverem programas de adequação dos dois Sistemas Agrários Típicos – o SAT da Agricultura Familiar e o SAT da Agricultura Patronal-Capitalista – à disponibilidade relativa dos fatores no interior dos mesmos. </w:t>
      </w:r>
    </w:p>
    <w:p w14:paraId="15D81039" w14:textId="77777777" w:rsidR="00976AB4" w:rsidRDefault="00976AB4" w:rsidP="00976AB4">
      <w:pPr>
        <w:ind w:firstLine="708"/>
        <w:rPr>
          <w:rFonts w:cs="Times New Roman"/>
          <w:color w:val="000000"/>
          <w:szCs w:val="24"/>
        </w:rPr>
      </w:pPr>
      <w:r>
        <w:rPr>
          <w:rFonts w:cs="Times New Roman"/>
          <w:color w:val="000000"/>
          <w:szCs w:val="24"/>
        </w:rPr>
        <w:t>Na verdade, um programa de apoio à conversão do SAT-AF a atividades intensivas em trabalho (fruticultura, pecuária de pequenos animais, produção leiteira, etc.) só poderia ser bem sucedido se fosse atrelado a uma política de preços mínimos e de demandas públicas muito consistente. Realizar este esforço, envolve uma política de cunho nacional, com fortalecimento do Pronaf-Investimento e dispêndios não desprezíveis por parte do Governo Federal. E o risco político de afastar produtores de atividades temporárias que comprometem as famílias com uma menor “</w:t>
      </w:r>
      <w:proofErr w:type="spellStart"/>
      <w:r>
        <w:rPr>
          <w:rFonts w:cs="Times New Roman"/>
          <w:color w:val="000000"/>
          <w:szCs w:val="24"/>
        </w:rPr>
        <w:t>laborosidade</w:t>
      </w:r>
      <w:proofErr w:type="spellEnd"/>
      <w:r>
        <w:rPr>
          <w:rFonts w:cs="Times New Roman"/>
          <w:color w:val="000000"/>
          <w:szCs w:val="24"/>
        </w:rPr>
        <w:t xml:space="preserve">” e geram rendimentos limitados, mas suficientes à reprodução (dado o </w:t>
      </w:r>
      <w:proofErr w:type="spellStart"/>
      <w:r>
        <w:rPr>
          <w:rFonts w:cs="Times New Roman"/>
          <w:color w:val="000000"/>
          <w:szCs w:val="24"/>
        </w:rPr>
        <w:t>cresimento</w:t>
      </w:r>
      <w:proofErr w:type="spellEnd"/>
      <w:r>
        <w:rPr>
          <w:rFonts w:cs="Times New Roman"/>
          <w:color w:val="000000"/>
          <w:szCs w:val="24"/>
        </w:rPr>
        <w:t xml:space="preserve"> internacional da demanda de soja, por exemplo), não pode ser subestimado. </w:t>
      </w:r>
    </w:p>
    <w:p w14:paraId="1CF30C03" w14:textId="77777777" w:rsidR="00976AB4" w:rsidRDefault="00976AB4" w:rsidP="00976AB4">
      <w:pPr>
        <w:ind w:firstLine="708"/>
        <w:rPr>
          <w:rFonts w:cs="Times New Roman"/>
          <w:color w:val="000000"/>
          <w:szCs w:val="24"/>
        </w:rPr>
      </w:pPr>
      <w:r>
        <w:rPr>
          <w:rFonts w:cs="Times New Roman"/>
          <w:color w:val="000000"/>
          <w:szCs w:val="24"/>
        </w:rPr>
        <w:t xml:space="preserve">De outro lado, se uma tal política não for adotada, a universalização da agricultura temporária levará à diminuição paulatina da relevância do fator trabalho na produção </w:t>
      </w:r>
      <w:r>
        <w:rPr>
          <w:rFonts w:cs="Times New Roman"/>
          <w:color w:val="000000"/>
          <w:szCs w:val="24"/>
        </w:rPr>
        <w:lastRenderedPageBreak/>
        <w:t>agrícola e estimulará o êxodo rural, colocando em risco a própria sobrevivência e sustentabilidade da agricultura familiar.</w:t>
      </w:r>
    </w:p>
    <w:p w14:paraId="5C26D65B" w14:textId="77777777" w:rsidR="00976AB4" w:rsidRPr="00976AB4" w:rsidRDefault="00976AB4" w:rsidP="00976AB4">
      <w:pPr>
        <w:pStyle w:val="PargrafodaLista"/>
        <w:numPr>
          <w:ilvl w:val="0"/>
          <w:numId w:val="1"/>
        </w:numPr>
        <w:rPr>
          <w:color w:val="000000"/>
          <w:sz w:val="28"/>
          <w:szCs w:val="28"/>
        </w:rPr>
      </w:pPr>
      <w:r w:rsidRPr="00976AB4">
        <w:rPr>
          <w:color w:val="000000"/>
          <w:sz w:val="28"/>
          <w:szCs w:val="28"/>
        </w:rPr>
        <w:t>BIBLIOGRAFIA</w:t>
      </w:r>
    </w:p>
    <w:p w14:paraId="58FA417D" w14:textId="77777777" w:rsidR="00976AB4" w:rsidRPr="0085005B" w:rsidRDefault="00976AB4" w:rsidP="00976AB4">
      <w:pPr>
        <w:pStyle w:val="NormalWeb"/>
        <w:ind w:left="709" w:hanging="709"/>
        <w:jc w:val="both"/>
      </w:pPr>
      <w:r w:rsidRPr="0085005B">
        <w:t xml:space="preserve">ABRAMOVAY, R. et al. </w:t>
      </w:r>
      <w:r w:rsidRPr="0085005B">
        <w:rPr>
          <w:b/>
          <w:bCs/>
        </w:rPr>
        <w:t xml:space="preserve">Juventude e agricultura familiar: </w:t>
      </w:r>
      <w:r w:rsidRPr="0085005B">
        <w:t xml:space="preserve">desafios dos novos </w:t>
      </w:r>
      <w:proofErr w:type="spellStart"/>
      <w:r w:rsidRPr="0085005B">
        <w:t>padrões</w:t>
      </w:r>
      <w:proofErr w:type="spellEnd"/>
      <w:r w:rsidRPr="0085005B">
        <w:t xml:space="preserve"> </w:t>
      </w:r>
      <w:proofErr w:type="spellStart"/>
      <w:r w:rsidRPr="0085005B">
        <w:t>sucessórios</w:t>
      </w:r>
      <w:proofErr w:type="spellEnd"/>
      <w:r w:rsidRPr="0085005B">
        <w:t xml:space="preserve">. </w:t>
      </w:r>
      <w:proofErr w:type="spellStart"/>
      <w:r w:rsidRPr="0085005B">
        <w:t>Brasília</w:t>
      </w:r>
      <w:proofErr w:type="spellEnd"/>
      <w:r w:rsidRPr="0085005B">
        <w:t xml:space="preserve">: Unesco, 1998. </w:t>
      </w:r>
    </w:p>
    <w:p w14:paraId="13AF4FD9" w14:textId="77777777" w:rsidR="00976AB4" w:rsidRPr="0085005B" w:rsidRDefault="00976AB4" w:rsidP="00976AB4">
      <w:pPr>
        <w:pStyle w:val="NormalWeb"/>
        <w:ind w:left="709" w:hanging="709"/>
        <w:jc w:val="both"/>
      </w:pPr>
      <w:r w:rsidRPr="0085005B">
        <w:t xml:space="preserve">ALVES, L. e PAIVA, C. A. (2007). Mesorregiões Fronteiriças do Sul do Brasil: em busca de similaridades. In: V Encontro Nacional da Associação Brasileira de Estudos Regionais e Urbanos. Recife 24 a 26 de outubro. Anais do V ENABER, </w:t>
      </w:r>
      <w:proofErr w:type="spellStart"/>
      <w:r w:rsidRPr="0085005B">
        <w:t>CD-Rom</w:t>
      </w:r>
      <w:proofErr w:type="spellEnd"/>
      <w:r w:rsidRPr="0085005B">
        <w:t>.</w:t>
      </w:r>
    </w:p>
    <w:p w14:paraId="4796FFD7" w14:textId="77777777" w:rsidR="00976AB4" w:rsidRPr="0085005B" w:rsidRDefault="00976AB4" w:rsidP="00976AB4">
      <w:pPr>
        <w:spacing w:before="120" w:line="240" w:lineRule="auto"/>
        <w:ind w:left="709" w:hanging="709"/>
        <w:rPr>
          <w:rFonts w:cs="Times New Roman"/>
          <w:szCs w:val="24"/>
        </w:rPr>
      </w:pPr>
      <w:r w:rsidRPr="0085005B">
        <w:rPr>
          <w:rFonts w:cs="Times New Roman"/>
          <w:szCs w:val="24"/>
        </w:rPr>
        <w:t xml:space="preserve">ALVES, L. R. (2008). </w:t>
      </w:r>
      <w:r w:rsidRPr="0085005B">
        <w:rPr>
          <w:rFonts w:cs="Times New Roman"/>
          <w:i/>
          <w:szCs w:val="24"/>
        </w:rPr>
        <w:t xml:space="preserve">Distribuição das atividades econômicas e desenvolvimento regional em Mesorregiões selecionadas do sul do Brasil: 1970 a 2000. </w:t>
      </w:r>
      <w:r w:rsidRPr="0085005B">
        <w:rPr>
          <w:rFonts w:cs="Times New Roman"/>
          <w:szCs w:val="24"/>
        </w:rPr>
        <w:t>Santa Cruz do Sul: PPGDR-</w:t>
      </w:r>
      <w:proofErr w:type="spellStart"/>
      <w:r w:rsidRPr="0085005B">
        <w:rPr>
          <w:rFonts w:cs="Times New Roman"/>
          <w:szCs w:val="24"/>
        </w:rPr>
        <w:t>Unisc</w:t>
      </w:r>
      <w:proofErr w:type="spellEnd"/>
      <w:r w:rsidRPr="0085005B">
        <w:rPr>
          <w:rFonts w:cs="Times New Roman"/>
          <w:szCs w:val="24"/>
        </w:rPr>
        <w:t xml:space="preserve"> (Dissertação de Mestrado).</w:t>
      </w:r>
    </w:p>
    <w:p w14:paraId="06E1A3F1" w14:textId="77777777" w:rsidR="00976AB4" w:rsidRPr="0085005B" w:rsidRDefault="00976AB4" w:rsidP="00976AB4">
      <w:pPr>
        <w:spacing w:before="120" w:line="240" w:lineRule="auto"/>
        <w:ind w:left="709" w:hanging="709"/>
        <w:rPr>
          <w:rFonts w:cs="Times New Roman"/>
          <w:szCs w:val="24"/>
        </w:rPr>
      </w:pPr>
      <w:r w:rsidRPr="0085005B">
        <w:rPr>
          <w:rFonts w:cs="Times New Roman"/>
          <w:szCs w:val="24"/>
        </w:rPr>
        <w:t xml:space="preserve">CARDOSO, F. H. (1962). </w:t>
      </w:r>
      <w:r w:rsidRPr="00976AB4">
        <w:rPr>
          <w:rFonts w:cs="Times New Roman"/>
          <w:szCs w:val="24"/>
        </w:rPr>
        <w:t>Capitalismo e Escravidão no Brasil Meridional.</w:t>
      </w:r>
      <w:r w:rsidRPr="0085005B">
        <w:rPr>
          <w:rFonts w:cs="Times New Roman"/>
          <w:szCs w:val="24"/>
        </w:rPr>
        <w:t xml:space="preserve"> São Paulo: Difusão Europeia do Livro.</w:t>
      </w:r>
    </w:p>
    <w:p w14:paraId="195AF6F2" w14:textId="77777777" w:rsidR="00976AB4" w:rsidRDefault="00976AB4" w:rsidP="00976AB4">
      <w:pPr>
        <w:spacing w:before="120" w:line="240" w:lineRule="auto"/>
        <w:ind w:left="709" w:hanging="709"/>
        <w:rPr>
          <w:rFonts w:cs="Times New Roman"/>
          <w:szCs w:val="24"/>
        </w:rPr>
      </w:pPr>
      <w:r w:rsidRPr="0085005B">
        <w:rPr>
          <w:rFonts w:cs="Times New Roman"/>
          <w:szCs w:val="24"/>
        </w:rPr>
        <w:t xml:space="preserve">FURTADO, C. ([1959]1984). </w:t>
      </w:r>
      <w:r w:rsidRPr="0085005B">
        <w:rPr>
          <w:rFonts w:cs="Times New Roman"/>
          <w:i/>
          <w:iCs/>
          <w:szCs w:val="24"/>
        </w:rPr>
        <w:t xml:space="preserve">Formação Econômica do Brasil. </w:t>
      </w:r>
      <w:r w:rsidRPr="0085005B">
        <w:rPr>
          <w:rFonts w:cs="Times New Roman"/>
          <w:szCs w:val="24"/>
        </w:rPr>
        <w:t>São Paulo: Editora Nacional.</w:t>
      </w:r>
    </w:p>
    <w:p w14:paraId="51C063B3" w14:textId="77777777" w:rsidR="00976AB4" w:rsidRDefault="00976AB4" w:rsidP="00976AB4">
      <w:pPr>
        <w:spacing w:before="120" w:line="240" w:lineRule="auto"/>
        <w:ind w:left="709" w:hanging="709"/>
        <w:rPr>
          <w:rFonts w:cs="Times New Roman"/>
          <w:szCs w:val="24"/>
        </w:rPr>
      </w:pPr>
      <w:r w:rsidRPr="00144FB4">
        <w:rPr>
          <w:rFonts w:cs="Times New Roman"/>
          <w:szCs w:val="24"/>
          <w:lang w:val="en-US"/>
        </w:rPr>
        <w:t xml:space="preserve">HIRSCHMAN, A. (1958). </w:t>
      </w:r>
      <w:r w:rsidRPr="00AA4961">
        <w:rPr>
          <w:rFonts w:cs="Times New Roman"/>
          <w:i/>
          <w:iCs/>
          <w:szCs w:val="24"/>
          <w:lang w:val="en-US"/>
        </w:rPr>
        <w:t>The Strategy of Economic Development.</w:t>
      </w:r>
      <w:r>
        <w:rPr>
          <w:rFonts w:cs="Times New Roman"/>
          <w:szCs w:val="24"/>
          <w:lang w:val="en-US"/>
        </w:rPr>
        <w:t xml:space="preserve"> New Haven: Yale University Press.</w:t>
      </w:r>
    </w:p>
    <w:p w14:paraId="5CBDB64C" w14:textId="77777777" w:rsidR="00976AB4" w:rsidRPr="007C0152" w:rsidRDefault="00976AB4" w:rsidP="00976AB4">
      <w:pPr>
        <w:spacing w:before="120" w:line="240" w:lineRule="auto"/>
        <w:ind w:left="709" w:hanging="709"/>
        <w:rPr>
          <w:rFonts w:cs="Times New Roman"/>
          <w:szCs w:val="24"/>
          <w:lang w:val="en-US"/>
        </w:rPr>
      </w:pPr>
      <w:r w:rsidRPr="00B45367">
        <w:rPr>
          <w:rFonts w:cs="Times New Roman"/>
          <w:szCs w:val="24"/>
          <w:lang w:val="en-US"/>
        </w:rPr>
        <w:t xml:space="preserve">KALECKI, M. (1954) </w:t>
      </w:r>
      <w:r w:rsidRPr="00B45367">
        <w:rPr>
          <w:rFonts w:cs="Times New Roman"/>
          <w:i/>
          <w:iCs/>
          <w:szCs w:val="24"/>
          <w:lang w:val="en-US"/>
        </w:rPr>
        <w:t>Theory of economic dynamics.</w:t>
      </w:r>
      <w:r w:rsidRPr="00B45367">
        <w:rPr>
          <w:rFonts w:cs="Times New Roman"/>
          <w:szCs w:val="24"/>
          <w:lang w:val="en-US"/>
        </w:rPr>
        <w:t xml:space="preserve"> In: OSIATYNSKI, J. (ed.). Vol. II.</w:t>
      </w:r>
    </w:p>
    <w:p w14:paraId="75076D81" w14:textId="77777777" w:rsidR="00976AB4" w:rsidRPr="0085005B" w:rsidRDefault="00976AB4" w:rsidP="00976AB4">
      <w:pPr>
        <w:spacing w:before="120" w:line="240" w:lineRule="auto"/>
        <w:ind w:left="709" w:hanging="709"/>
        <w:rPr>
          <w:rFonts w:cs="Times New Roman"/>
          <w:szCs w:val="24"/>
          <w:lang w:val="en-US"/>
        </w:rPr>
      </w:pPr>
      <w:r w:rsidRPr="0085005B">
        <w:rPr>
          <w:rFonts w:cs="Times New Roman"/>
          <w:szCs w:val="24"/>
        </w:rPr>
        <w:t xml:space="preserve">KRUGMAN, P. (1991) </w:t>
      </w:r>
      <w:proofErr w:type="spellStart"/>
      <w:r w:rsidRPr="0085005B">
        <w:rPr>
          <w:rFonts w:cs="Times New Roman"/>
          <w:i/>
          <w:iCs/>
          <w:szCs w:val="24"/>
        </w:rPr>
        <w:t>Geography</w:t>
      </w:r>
      <w:proofErr w:type="spellEnd"/>
      <w:r w:rsidRPr="0085005B">
        <w:rPr>
          <w:rFonts w:cs="Times New Roman"/>
          <w:i/>
          <w:iCs/>
          <w:szCs w:val="24"/>
        </w:rPr>
        <w:t xml:space="preserve"> </w:t>
      </w:r>
      <w:proofErr w:type="spellStart"/>
      <w:r w:rsidRPr="0085005B">
        <w:rPr>
          <w:rFonts w:cs="Times New Roman"/>
          <w:i/>
          <w:iCs/>
          <w:szCs w:val="24"/>
        </w:rPr>
        <w:t>and</w:t>
      </w:r>
      <w:proofErr w:type="spellEnd"/>
      <w:r w:rsidRPr="0085005B">
        <w:rPr>
          <w:rFonts w:cs="Times New Roman"/>
          <w:i/>
          <w:iCs/>
          <w:szCs w:val="24"/>
        </w:rPr>
        <w:t xml:space="preserve"> Trade. </w:t>
      </w:r>
      <w:r w:rsidRPr="0085005B">
        <w:rPr>
          <w:rFonts w:cs="Times New Roman"/>
          <w:szCs w:val="24"/>
          <w:lang w:val="en-US"/>
        </w:rPr>
        <w:t>Cambridge, MA: MIT Press.</w:t>
      </w:r>
    </w:p>
    <w:p w14:paraId="3900DD48" w14:textId="77777777" w:rsidR="00976AB4" w:rsidRPr="0085005B" w:rsidRDefault="00976AB4" w:rsidP="00976AB4">
      <w:pPr>
        <w:spacing w:before="120" w:line="240" w:lineRule="auto"/>
        <w:ind w:left="709" w:hanging="709"/>
        <w:rPr>
          <w:rFonts w:cs="Times New Roman"/>
          <w:szCs w:val="24"/>
          <w:lang w:val="en-US"/>
        </w:rPr>
      </w:pPr>
      <w:r w:rsidRPr="0085005B">
        <w:rPr>
          <w:rFonts w:cs="Times New Roman"/>
          <w:szCs w:val="24"/>
        </w:rPr>
        <w:t xml:space="preserve">LENHARO, Alcir. (1979) </w:t>
      </w:r>
      <w:r w:rsidRPr="0085005B">
        <w:rPr>
          <w:rFonts w:cs="Times New Roman"/>
          <w:i/>
          <w:iCs/>
          <w:szCs w:val="24"/>
        </w:rPr>
        <w:t>As tropas da moderação: o abastecimento da Corte na formação política do Brasil, 1808-1842.</w:t>
      </w:r>
      <w:r w:rsidRPr="0085005B">
        <w:rPr>
          <w:rFonts w:cs="Times New Roman"/>
          <w:szCs w:val="24"/>
        </w:rPr>
        <w:t xml:space="preserve"> São Paulo: Símbolo.</w:t>
      </w:r>
    </w:p>
    <w:p w14:paraId="7135F0E4" w14:textId="77777777" w:rsidR="00976AB4" w:rsidRPr="0085005B" w:rsidRDefault="00976AB4" w:rsidP="00976AB4">
      <w:pPr>
        <w:spacing w:before="120" w:line="240" w:lineRule="auto"/>
        <w:ind w:left="709" w:hanging="709"/>
        <w:rPr>
          <w:rFonts w:cs="Times New Roman"/>
          <w:szCs w:val="24"/>
          <w:lang w:val="en-US"/>
        </w:rPr>
      </w:pPr>
      <w:r w:rsidRPr="0085005B">
        <w:rPr>
          <w:rFonts w:cs="Times New Roman"/>
          <w:szCs w:val="24"/>
          <w:lang w:val="en-US"/>
        </w:rPr>
        <w:t xml:space="preserve">NORTH, D. (1955) Location Theory and Regional Economic Growth. </w:t>
      </w:r>
      <w:r w:rsidRPr="0085005B">
        <w:rPr>
          <w:rFonts w:cs="Times New Roman"/>
          <w:i/>
          <w:iCs/>
          <w:szCs w:val="24"/>
          <w:lang w:val="en-US"/>
        </w:rPr>
        <w:t xml:space="preserve">Journal of Political Economy, </w:t>
      </w:r>
      <w:r w:rsidRPr="0085005B">
        <w:rPr>
          <w:rFonts w:cs="Times New Roman"/>
          <w:szCs w:val="24"/>
          <w:lang w:val="en-US"/>
        </w:rPr>
        <w:t>LXIII, June.</w:t>
      </w:r>
    </w:p>
    <w:p w14:paraId="3D673D96" w14:textId="77777777" w:rsidR="00976AB4" w:rsidRPr="0085005B" w:rsidRDefault="00976AB4" w:rsidP="00976AB4">
      <w:pPr>
        <w:spacing w:before="120" w:line="240" w:lineRule="auto"/>
        <w:ind w:left="709" w:hanging="709"/>
        <w:rPr>
          <w:rFonts w:cs="Times New Roman"/>
          <w:szCs w:val="24"/>
          <w:lang w:val="en-US"/>
        </w:rPr>
      </w:pPr>
      <w:r w:rsidRPr="0085005B">
        <w:rPr>
          <w:rFonts w:cs="Times New Roman"/>
          <w:szCs w:val="24"/>
          <w:lang w:val="en-US"/>
        </w:rPr>
        <w:t xml:space="preserve">NORTH, D. (1959). Agriculture in Regional Economic Growth. </w:t>
      </w:r>
      <w:r w:rsidRPr="0085005B">
        <w:rPr>
          <w:rFonts w:cs="Times New Roman"/>
          <w:i/>
          <w:iCs/>
          <w:szCs w:val="24"/>
          <w:lang w:val="en-US"/>
        </w:rPr>
        <w:t>Journal of Farm Economics</w:t>
      </w:r>
      <w:r w:rsidRPr="0085005B">
        <w:rPr>
          <w:rFonts w:cs="Times New Roman"/>
          <w:szCs w:val="24"/>
          <w:lang w:val="en-US"/>
        </w:rPr>
        <w:t>, 41(5), December.</w:t>
      </w:r>
    </w:p>
    <w:p w14:paraId="3CB2668E" w14:textId="77777777" w:rsidR="00976AB4" w:rsidRPr="0085005B" w:rsidRDefault="00976AB4" w:rsidP="00976AB4">
      <w:pPr>
        <w:pStyle w:val="PargrafodaLista"/>
        <w:spacing w:before="120" w:after="120" w:line="240" w:lineRule="auto"/>
        <w:ind w:left="709" w:right="0" w:hanging="709"/>
        <w:contextualSpacing w:val="0"/>
      </w:pPr>
      <w:r w:rsidRPr="0085005B">
        <w:t xml:space="preserve">PAIVA, C. A. (2007a) </w:t>
      </w:r>
      <w:r w:rsidRPr="0085005B">
        <w:rPr>
          <w:i/>
        </w:rPr>
        <w:t xml:space="preserve">RS em Mapas e Dados: bases </w:t>
      </w:r>
      <w:proofErr w:type="spellStart"/>
      <w:r w:rsidRPr="0085005B">
        <w:rPr>
          <w:i/>
        </w:rPr>
        <w:t>georrefenciadas</w:t>
      </w:r>
      <w:proofErr w:type="spellEnd"/>
      <w:r w:rsidRPr="0085005B">
        <w:rPr>
          <w:i/>
        </w:rPr>
        <w:t xml:space="preserve"> para a comparação do desempenho socioeconômico dos municípios gaúchos entre 1966 e 2006.</w:t>
      </w:r>
      <w:r w:rsidRPr="0085005B">
        <w:t xml:space="preserve"> Porto Alegre/Santa Cruz do Sul : FEE/</w:t>
      </w:r>
      <w:proofErr w:type="spellStart"/>
      <w:r w:rsidRPr="0085005B">
        <w:t>Unisc</w:t>
      </w:r>
      <w:proofErr w:type="spellEnd"/>
    </w:p>
    <w:p w14:paraId="23151EDE" w14:textId="77777777" w:rsidR="00976AB4" w:rsidRPr="0085005B" w:rsidRDefault="00976AB4" w:rsidP="00976AB4">
      <w:pPr>
        <w:spacing w:before="120" w:line="240" w:lineRule="auto"/>
        <w:ind w:left="709" w:hanging="709"/>
        <w:rPr>
          <w:rFonts w:cs="Times New Roman"/>
          <w:szCs w:val="24"/>
        </w:rPr>
      </w:pPr>
      <w:r w:rsidRPr="0085005B">
        <w:rPr>
          <w:rFonts w:cs="Times New Roman"/>
          <w:szCs w:val="24"/>
        </w:rPr>
        <w:t xml:space="preserve">PAIVA, C. A. (2007b) Diversificação no Campo leva Riqueza ao Interior. </w:t>
      </w:r>
      <w:r w:rsidRPr="0085005B">
        <w:rPr>
          <w:rFonts w:cs="Times New Roman"/>
          <w:i/>
          <w:szCs w:val="24"/>
        </w:rPr>
        <w:t xml:space="preserve">Jornal do Comércio. </w:t>
      </w:r>
      <w:r w:rsidRPr="0085005B">
        <w:rPr>
          <w:rFonts w:cs="Times New Roman"/>
          <w:szCs w:val="24"/>
        </w:rPr>
        <w:t xml:space="preserve">05/07/2007 </w:t>
      </w:r>
      <w:proofErr w:type="spellStart"/>
      <w:r w:rsidRPr="0085005B">
        <w:rPr>
          <w:rFonts w:cs="Times New Roman"/>
          <w:szCs w:val="24"/>
        </w:rPr>
        <w:t>Disp</w:t>
      </w:r>
      <w:proofErr w:type="spellEnd"/>
      <w:r w:rsidRPr="0085005B">
        <w:rPr>
          <w:rFonts w:cs="Times New Roman"/>
          <w:szCs w:val="24"/>
        </w:rPr>
        <w:t xml:space="preserve">: </w:t>
      </w:r>
      <w:hyperlink r:id="rId11" w:history="1">
        <w:r w:rsidRPr="0085005B">
          <w:rPr>
            <w:rStyle w:val="Hyperlink"/>
            <w:rFonts w:cs="Times New Roman"/>
            <w:szCs w:val="24"/>
          </w:rPr>
          <w:t>http://www.territoriopaiva.com/ctms/9/61/reportagens</w:t>
        </w:r>
      </w:hyperlink>
    </w:p>
    <w:p w14:paraId="7C4DF6D9" w14:textId="77777777" w:rsidR="00976AB4" w:rsidRPr="0085005B" w:rsidRDefault="00976AB4" w:rsidP="00976AB4">
      <w:pPr>
        <w:spacing w:before="120" w:line="240" w:lineRule="auto"/>
        <w:ind w:left="709" w:hanging="709"/>
        <w:rPr>
          <w:rFonts w:cs="Times New Roman"/>
          <w:szCs w:val="24"/>
        </w:rPr>
      </w:pPr>
      <w:r w:rsidRPr="0085005B">
        <w:rPr>
          <w:rFonts w:cs="Times New Roman"/>
          <w:szCs w:val="24"/>
        </w:rPr>
        <w:lastRenderedPageBreak/>
        <w:t>PAIVA, C. A. (2007c).  Uma Alternativa à Metodologia das Áreas Mínimas Comparáveis (</w:t>
      </w:r>
      <w:proofErr w:type="spellStart"/>
      <w:r w:rsidRPr="0085005B">
        <w:rPr>
          <w:rFonts w:cs="Times New Roman"/>
          <w:szCs w:val="24"/>
        </w:rPr>
        <w:t>AMCs</w:t>
      </w:r>
      <w:proofErr w:type="spellEnd"/>
      <w:r w:rsidRPr="0085005B">
        <w:rPr>
          <w:rFonts w:cs="Times New Roman"/>
          <w:szCs w:val="24"/>
        </w:rPr>
        <w:t xml:space="preserve">) para Estudos Municipais-Regionais de Longo Prazo. In: PAIVA, C. A. </w:t>
      </w:r>
      <w:r w:rsidRPr="0085005B">
        <w:rPr>
          <w:rFonts w:cs="Times New Roman"/>
          <w:i/>
          <w:szCs w:val="24"/>
        </w:rPr>
        <w:t xml:space="preserve">RS em Mapas e Dados: Bases </w:t>
      </w:r>
      <w:proofErr w:type="spellStart"/>
      <w:r w:rsidRPr="0085005B">
        <w:rPr>
          <w:rFonts w:cs="Times New Roman"/>
          <w:i/>
          <w:szCs w:val="24"/>
        </w:rPr>
        <w:t>georrefenciadas</w:t>
      </w:r>
      <w:proofErr w:type="spellEnd"/>
      <w:r w:rsidRPr="0085005B">
        <w:rPr>
          <w:rFonts w:cs="Times New Roman"/>
          <w:i/>
          <w:szCs w:val="24"/>
        </w:rPr>
        <w:t xml:space="preserve"> para a comparação do desempenho socioeconômico dos municípios gaúchos entre 1966 e 2006.</w:t>
      </w:r>
      <w:r w:rsidRPr="0085005B">
        <w:rPr>
          <w:rFonts w:cs="Times New Roman"/>
          <w:szCs w:val="24"/>
        </w:rPr>
        <w:t xml:space="preserve"> Porto Alegre/Santa Cruz do Sul : FEE/</w:t>
      </w:r>
      <w:proofErr w:type="spellStart"/>
      <w:r w:rsidRPr="0085005B">
        <w:rPr>
          <w:rFonts w:cs="Times New Roman"/>
          <w:szCs w:val="24"/>
        </w:rPr>
        <w:t>Unisc</w:t>
      </w:r>
      <w:proofErr w:type="spellEnd"/>
      <w:r w:rsidRPr="0085005B">
        <w:rPr>
          <w:rFonts w:cs="Times New Roman"/>
          <w:szCs w:val="24"/>
        </w:rPr>
        <w:t>.</w:t>
      </w:r>
    </w:p>
    <w:p w14:paraId="5603D89E" w14:textId="77777777" w:rsidR="00976AB4" w:rsidRPr="0085005B" w:rsidRDefault="00976AB4" w:rsidP="00976AB4">
      <w:pPr>
        <w:spacing w:before="120" w:line="240" w:lineRule="auto"/>
        <w:ind w:left="709" w:hanging="709"/>
        <w:rPr>
          <w:rFonts w:cs="Times New Roman"/>
          <w:szCs w:val="24"/>
        </w:rPr>
      </w:pPr>
      <w:r w:rsidRPr="0085005B">
        <w:rPr>
          <w:rFonts w:cs="Times New Roman"/>
          <w:szCs w:val="24"/>
        </w:rPr>
        <w:t xml:space="preserve">PAIVA, C. A. (2008a).  Introdução. </w:t>
      </w:r>
      <w:r w:rsidRPr="0085005B">
        <w:rPr>
          <w:rFonts w:cs="Times New Roman"/>
          <w:szCs w:val="24"/>
          <w:lang w:val="en-US"/>
        </w:rPr>
        <w:t xml:space="preserve">In: PAIVA, C. A. (org.). </w:t>
      </w:r>
      <w:r w:rsidRPr="0085005B">
        <w:rPr>
          <w:rFonts w:cs="Times New Roman"/>
          <w:i/>
          <w:szCs w:val="24"/>
        </w:rPr>
        <w:t xml:space="preserve">Evolução das desigualdades territoriais do Rio Grande do Sul. </w:t>
      </w:r>
      <w:r w:rsidRPr="0085005B">
        <w:rPr>
          <w:rFonts w:cs="Times New Roman"/>
          <w:szCs w:val="24"/>
        </w:rPr>
        <w:t xml:space="preserve">Santa Cruz do Sul: </w:t>
      </w:r>
      <w:proofErr w:type="spellStart"/>
      <w:r w:rsidRPr="0085005B">
        <w:rPr>
          <w:rFonts w:cs="Times New Roman"/>
          <w:szCs w:val="24"/>
        </w:rPr>
        <w:t>Edunisc</w:t>
      </w:r>
      <w:proofErr w:type="spellEnd"/>
      <w:r w:rsidRPr="0085005B">
        <w:rPr>
          <w:rFonts w:cs="Times New Roman"/>
          <w:szCs w:val="24"/>
        </w:rPr>
        <w:t>.</w:t>
      </w:r>
    </w:p>
    <w:p w14:paraId="6C9A13EA" w14:textId="77777777" w:rsidR="00976AB4" w:rsidRPr="0085005B" w:rsidRDefault="00976AB4" w:rsidP="00976AB4">
      <w:pPr>
        <w:spacing w:before="120" w:line="240" w:lineRule="auto"/>
        <w:ind w:left="709" w:hanging="709"/>
        <w:rPr>
          <w:rFonts w:cs="Times New Roman"/>
          <w:szCs w:val="24"/>
        </w:rPr>
      </w:pPr>
      <w:r w:rsidRPr="0085005B">
        <w:rPr>
          <w:rFonts w:cs="Times New Roman"/>
          <w:szCs w:val="24"/>
        </w:rPr>
        <w:t xml:space="preserve">PAIVA, C. A. (2008b).  Os determinantes do aprofundamento das desigualdades territoriais no Rio Grande do Sul entre 1970 e 2000. In: PAIVA, C. A. (org.). </w:t>
      </w:r>
      <w:r w:rsidRPr="0085005B">
        <w:rPr>
          <w:rFonts w:cs="Times New Roman"/>
          <w:i/>
          <w:szCs w:val="24"/>
        </w:rPr>
        <w:t xml:space="preserve">Evolução das desigualdades territoriais do Rio Grande do Sul. </w:t>
      </w:r>
      <w:r w:rsidRPr="0085005B">
        <w:rPr>
          <w:rFonts w:cs="Times New Roman"/>
          <w:szCs w:val="24"/>
        </w:rPr>
        <w:t xml:space="preserve">Santa Cruz do Sul: </w:t>
      </w:r>
      <w:proofErr w:type="spellStart"/>
      <w:r w:rsidRPr="0085005B">
        <w:rPr>
          <w:rFonts w:cs="Times New Roman"/>
          <w:szCs w:val="24"/>
        </w:rPr>
        <w:t>Edunisc</w:t>
      </w:r>
      <w:proofErr w:type="spellEnd"/>
    </w:p>
    <w:p w14:paraId="6DFAF523" w14:textId="77777777" w:rsidR="00976AB4" w:rsidRPr="0085005B" w:rsidRDefault="00976AB4" w:rsidP="00976AB4">
      <w:pPr>
        <w:pStyle w:val="PargrafodaLista"/>
        <w:spacing w:before="120" w:after="120" w:line="240" w:lineRule="auto"/>
        <w:ind w:left="709" w:right="0" w:hanging="709"/>
        <w:contextualSpacing w:val="0"/>
      </w:pPr>
      <w:r w:rsidRPr="0085005B">
        <w:t>PAIVA, C. A. (2008c). Rentabilidade, capacidade de incorporação de trabalho e potencial propulsivo das especializações agropecuárias familiares no Rio Grande do Sul entre 1996 e 2006. Projeto de Pesquisa. Porto Alegre / Brasília: FEE / IPEA (</w:t>
      </w:r>
      <w:proofErr w:type="spellStart"/>
      <w:r w:rsidRPr="0085005B">
        <w:t>mimeo</w:t>
      </w:r>
      <w:proofErr w:type="spellEnd"/>
      <w:r w:rsidRPr="0085005B">
        <w:t xml:space="preserve">). Disponível para download em: </w:t>
      </w:r>
      <w:hyperlink r:id="rId12" w:history="1">
        <w:r w:rsidRPr="0085005B">
          <w:rPr>
            <w:rStyle w:val="Hyperlink"/>
          </w:rPr>
          <w:t>http://www.territoriopaiva.com/ler/3/48/195/ipea_-_especializacao_produtiva_e_rentabilidade_da_agropecuaria_familiar</w:t>
        </w:r>
      </w:hyperlink>
    </w:p>
    <w:p w14:paraId="4F9B26BE" w14:textId="77777777" w:rsidR="00976AB4" w:rsidRPr="0085005B" w:rsidRDefault="00976AB4" w:rsidP="00976AB4">
      <w:pPr>
        <w:pStyle w:val="PargrafodaLista"/>
        <w:spacing w:before="120" w:after="120" w:line="240" w:lineRule="auto"/>
        <w:ind w:left="709" w:right="0" w:hanging="709"/>
        <w:contextualSpacing w:val="0"/>
        <w:rPr>
          <w:rStyle w:val="Hyperlink"/>
        </w:rPr>
      </w:pPr>
      <w:r w:rsidRPr="0085005B">
        <w:t xml:space="preserve">PAIVA, C. A. (2009). Reconversão produtiva agropecuária no enfrentamento das desigualdades regionais no Rio Grande do Sul. Seminário Interno – FEE. Porto Alegre: FEE. Arquivo </w:t>
      </w:r>
      <w:proofErr w:type="spellStart"/>
      <w:r w:rsidRPr="0085005B">
        <w:t>Disp</w:t>
      </w:r>
      <w:proofErr w:type="spellEnd"/>
      <w:r w:rsidRPr="0085005B">
        <w:t xml:space="preserve">. em </w:t>
      </w:r>
      <w:hyperlink r:id="rId13" w:history="1">
        <w:r w:rsidRPr="0085005B">
          <w:rPr>
            <w:rStyle w:val="Hyperlink"/>
          </w:rPr>
          <w:t>http://www.territoriopaiva.com/ctms/3/39/palestras</w:t>
        </w:r>
      </w:hyperlink>
    </w:p>
    <w:p w14:paraId="0E2A1793" w14:textId="77777777" w:rsidR="00976AB4" w:rsidRPr="0085005B" w:rsidRDefault="00976AB4" w:rsidP="00976AB4">
      <w:pPr>
        <w:pStyle w:val="PargrafodaLista"/>
        <w:spacing w:before="120" w:after="120" w:line="240" w:lineRule="auto"/>
        <w:ind w:left="709" w:right="0" w:hanging="709"/>
        <w:contextualSpacing w:val="0"/>
        <w:rPr>
          <w:rStyle w:val="Hyperlink"/>
        </w:rPr>
      </w:pPr>
      <w:r w:rsidRPr="0085005B">
        <w:t xml:space="preserve">PAIVA, C. A. e ALVES, L. (2008). Determinantes do Desempenho Diferenciado de Mesorregiões Selecionadas do Sul do Brasil entre 1970 e 2000. In: In: </w:t>
      </w:r>
      <w:r w:rsidRPr="0085005B">
        <w:rPr>
          <w:i/>
        </w:rPr>
        <w:t>Anais do VI Encontro Nacional da Associação de Estudos Regionais e Urbanos</w:t>
      </w:r>
      <w:r w:rsidRPr="0085005B">
        <w:t xml:space="preserve">. Aracaju: </w:t>
      </w:r>
      <w:proofErr w:type="spellStart"/>
      <w:r w:rsidRPr="0085005B">
        <w:t>Enaber</w:t>
      </w:r>
      <w:proofErr w:type="spellEnd"/>
      <w:r w:rsidRPr="0085005B">
        <w:t xml:space="preserve">. Disponível em </w:t>
      </w:r>
      <w:hyperlink r:id="rId14" w:history="1">
        <w:r w:rsidRPr="0085005B">
          <w:rPr>
            <w:rStyle w:val="Hyperlink"/>
          </w:rPr>
          <w:t>http://www.enaber.com.br/downloads/art_205.pdf</w:t>
        </w:r>
      </w:hyperlink>
    </w:p>
    <w:p w14:paraId="7FD71FFD" w14:textId="77777777" w:rsidR="00976AB4" w:rsidRPr="0085005B" w:rsidRDefault="00976AB4" w:rsidP="00976AB4">
      <w:pPr>
        <w:pStyle w:val="PargrafodaLista"/>
        <w:spacing w:before="120" w:after="120" w:line="240" w:lineRule="auto"/>
        <w:ind w:left="709" w:right="0" w:hanging="709"/>
        <w:contextualSpacing w:val="0"/>
      </w:pPr>
      <w:r w:rsidRPr="0085005B">
        <w:t xml:space="preserve">SPANEVELLO, R. (2008) A Dinâmica Sucessória na Agricultura Familiar. Porto Alegre: UFRGS (Tese de Doutorado – Programa de Pós-Graduação em Desenvolvimento Rural. </w:t>
      </w:r>
      <w:proofErr w:type="spellStart"/>
      <w:r w:rsidRPr="0085005B">
        <w:t>Disp</w:t>
      </w:r>
      <w:proofErr w:type="spellEnd"/>
      <w:r w:rsidRPr="0085005B">
        <w:t xml:space="preserve">. em </w:t>
      </w:r>
      <w:hyperlink r:id="rId15" w:history="1">
        <w:r w:rsidRPr="0085005B">
          <w:rPr>
            <w:rStyle w:val="Hyperlink"/>
          </w:rPr>
          <w:t>https://www.lume.ufrgs.br/handle/10183/16024</w:t>
        </w:r>
      </w:hyperlink>
      <w:r w:rsidRPr="0085005B">
        <w:t>)</w:t>
      </w:r>
    </w:p>
    <w:p w14:paraId="7AF338F3" w14:textId="77777777" w:rsidR="00976AB4" w:rsidRPr="0085005B" w:rsidRDefault="00976AB4" w:rsidP="00976AB4">
      <w:pPr>
        <w:spacing w:before="120" w:line="240" w:lineRule="auto"/>
        <w:ind w:left="709" w:hanging="709"/>
        <w:rPr>
          <w:rFonts w:cs="Times New Roman"/>
          <w:color w:val="000000"/>
          <w:szCs w:val="24"/>
        </w:rPr>
      </w:pPr>
      <w:r w:rsidRPr="0085005B">
        <w:rPr>
          <w:rFonts w:cs="Times New Roman"/>
          <w:szCs w:val="24"/>
        </w:rPr>
        <w:t xml:space="preserve">TRENNEPOHL, D. ALVES e L. FLORES A. (2008) Análise das características regionais e setoriais da evolução do Valor Bruto da Produção Agropecuária municipal no RS entre 1970 e 1996. In: PAIVA, C. A. (org.) </w:t>
      </w:r>
      <w:r w:rsidRPr="0085005B">
        <w:rPr>
          <w:rFonts w:cs="Times New Roman"/>
          <w:i/>
          <w:color w:val="000000"/>
          <w:szCs w:val="24"/>
        </w:rPr>
        <w:t xml:space="preserve">Evolução das Desigualdades Territoriais no Rio Grande do Sul </w:t>
      </w:r>
      <w:r w:rsidRPr="0085005B">
        <w:rPr>
          <w:rFonts w:cs="Times New Roman"/>
          <w:color w:val="000000"/>
          <w:szCs w:val="24"/>
        </w:rPr>
        <w:t xml:space="preserve">Santa Cruz do Sul: </w:t>
      </w:r>
      <w:proofErr w:type="spellStart"/>
      <w:r w:rsidRPr="0085005B">
        <w:rPr>
          <w:rFonts w:cs="Times New Roman"/>
          <w:color w:val="000000"/>
          <w:szCs w:val="24"/>
        </w:rPr>
        <w:t>Edunisc</w:t>
      </w:r>
      <w:proofErr w:type="spellEnd"/>
      <w:r w:rsidRPr="0085005B">
        <w:rPr>
          <w:rFonts w:cs="Times New Roman"/>
          <w:color w:val="000000"/>
          <w:szCs w:val="24"/>
        </w:rPr>
        <w:t>.</w:t>
      </w:r>
    </w:p>
    <w:p w14:paraId="3202BF98" w14:textId="77777777" w:rsidR="0085005B" w:rsidRPr="003D5FC3" w:rsidRDefault="0085005B" w:rsidP="00976AB4">
      <w:pPr>
        <w:ind w:left="709" w:hanging="709"/>
        <w:rPr>
          <w:rFonts w:cs="Times New Roman"/>
          <w:b/>
          <w:bCs/>
          <w:sz w:val="40"/>
          <w:szCs w:val="40"/>
        </w:rPr>
      </w:pPr>
    </w:p>
    <w:sectPr w:rsidR="0085005B" w:rsidRPr="003D5FC3" w:rsidSect="00E7189D">
      <w:pgSz w:w="10800" w:h="14400"/>
      <w:pgMar w:top="1440" w:right="1080" w:bottom="1440" w:left="108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106D5" w14:textId="77777777" w:rsidR="00C71746" w:rsidRDefault="00C71746" w:rsidP="00D34CAC">
      <w:pPr>
        <w:spacing w:after="0" w:line="240" w:lineRule="auto"/>
      </w:pPr>
      <w:r>
        <w:separator/>
      </w:r>
    </w:p>
  </w:endnote>
  <w:endnote w:type="continuationSeparator" w:id="0">
    <w:p w14:paraId="299225FF" w14:textId="77777777" w:rsidR="00C71746" w:rsidRDefault="00C71746" w:rsidP="00D34C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Corpo C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E8BFA6" w14:textId="77777777" w:rsidR="00C71746" w:rsidRDefault="00C71746" w:rsidP="00D34CAC">
      <w:pPr>
        <w:spacing w:after="0" w:line="240" w:lineRule="auto"/>
      </w:pPr>
      <w:r>
        <w:separator/>
      </w:r>
    </w:p>
  </w:footnote>
  <w:footnote w:type="continuationSeparator" w:id="0">
    <w:p w14:paraId="3E94839A" w14:textId="77777777" w:rsidR="00C71746" w:rsidRDefault="00C71746" w:rsidP="00D34CAC">
      <w:pPr>
        <w:spacing w:after="0" w:line="240" w:lineRule="auto"/>
      </w:pPr>
      <w:r>
        <w:continuationSeparator/>
      </w:r>
    </w:p>
  </w:footnote>
  <w:footnote w:id="1">
    <w:p w14:paraId="09028E2E" w14:textId="4A8E50CC" w:rsidR="002806F6" w:rsidRPr="0085005B" w:rsidRDefault="002806F6" w:rsidP="002806F6">
      <w:pPr>
        <w:pStyle w:val="Textodenotaderodap"/>
        <w:rPr>
          <w:rFonts w:cs="Times New Roman"/>
        </w:rPr>
      </w:pPr>
      <w:r w:rsidRPr="0085005B">
        <w:rPr>
          <w:rStyle w:val="Refdenotaderodap"/>
          <w:rFonts w:cs="Times New Roman"/>
        </w:rPr>
        <w:footnoteRef/>
      </w:r>
      <w:r w:rsidRPr="0085005B">
        <w:rPr>
          <w:rFonts w:cs="Times New Roman"/>
        </w:rPr>
        <w:t xml:space="preserve"> </w:t>
      </w:r>
      <w:r>
        <w:rPr>
          <w:rFonts w:cs="Times New Roman"/>
        </w:rPr>
        <w:t xml:space="preserve">O primeiro Anexo detalha as pesquisas que deram origem ao Projeto contemplado com a Bolsa Produtividade. Todos os Anexos estão disponíveis em </w:t>
      </w:r>
      <w:r w:rsidR="000D366C" w:rsidRPr="000D366C">
        <w:rPr>
          <w:rFonts w:cs="Times New Roman"/>
        </w:rPr>
        <w:t>https://territoriopaiva.com.br/producao-teorica/projetos-e-relatorios-de-pesquisa/cnpq</w:t>
      </w:r>
      <w:r w:rsidR="000D366C">
        <w:rPr>
          <w:rFonts w:cs="Times New Roman"/>
        </w:rPr>
        <w:t>.</w:t>
      </w:r>
    </w:p>
  </w:footnote>
  <w:footnote w:id="2">
    <w:p w14:paraId="107F2F56" w14:textId="5FFE7AB4" w:rsidR="00A647D9" w:rsidRPr="0085005B" w:rsidRDefault="00A647D9" w:rsidP="00C84140">
      <w:pPr>
        <w:pStyle w:val="Textodenotaderodap"/>
        <w:rPr>
          <w:rFonts w:cs="Times New Roman"/>
        </w:rPr>
      </w:pPr>
      <w:r w:rsidRPr="0085005B">
        <w:rPr>
          <w:rStyle w:val="Refdenotaderodap"/>
          <w:rFonts w:cs="Times New Roman"/>
        </w:rPr>
        <w:footnoteRef/>
      </w:r>
      <w:r w:rsidRPr="0085005B">
        <w:rPr>
          <w:rFonts w:cs="Times New Roman"/>
        </w:rPr>
        <w:t xml:space="preserve"> </w:t>
      </w:r>
      <w:r w:rsidR="006A0B86">
        <w:rPr>
          <w:rFonts w:cs="Times New Roman"/>
          <w:color w:val="000000"/>
          <w:szCs w:val="24"/>
        </w:rPr>
        <w:t xml:space="preserve">A precocidade dos primeiros resultados tem uma explicação simples. </w:t>
      </w:r>
      <w:r w:rsidR="006A0B86" w:rsidRPr="0085005B">
        <w:rPr>
          <w:rFonts w:cs="Times New Roman"/>
          <w:color w:val="000000"/>
          <w:szCs w:val="24"/>
        </w:rPr>
        <w:t xml:space="preserve">o tema </w:t>
      </w:r>
      <w:r w:rsidR="006A0B86">
        <w:rPr>
          <w:rFonts w:cs="Times New Roman"/>
          <w:color w:val="000000"/>
          <w:szCs w:val="24"/>
        </w:rPr>
        <w:t xml:space="preserve">já </w:t>
      </w:r>
      <w:r w:rsidR="006A0B86" w:rsidRPr="0085005B">
        <w:rPr>
          <w:rFonts w:cs="Times New Roman"/>
          <w:color w:val="000000"/>
          <w:szCs w:val="24"/>
        </w:rPr>
        <w:t xml:space="preserve">nos ocupava desde </w:t>
      </w:r>
      <w:r w:rsidR="006A0B86">
        <w:rPr>
          <w:rFonts w:cs="Times New Roman"/>
          <w:color w:val="000000"/>
          <w:szCs w:val="24"/>
        </w:rPr>
        <w:t xml:space="preserve">o final de 2008, quando enviamos projetos com demanda de financiamento para o IPEA e o CNPq. No primeiro encaminhamento, </w:t>
      </w:r>
      <w:r w:rsidR="002806F6">
        <w:rPr>
          <w:rFonts w:cs="Times New Roman"/>
          <w:color w:val="000000"/>
          <w:szCs w:val="24"/>
        </w:rPr>
        <w:t xml:space="preserve">a demanda pela </w:t>
      </w:r>
      <w:r w:rsidR="006A0B86">
        <w:rPr>
          <w:rFonts w:cs="Times New Roman"/>
          <w:color w:val="000000"/>
          <w:szCs w:val="24"/>
        </w:rPr>
        <w:t>Bolsa Produtividade</w:t>
      </w:r>
      <w:r w:rsidR="002806F6">
        <w:rPr>
          <w:rFonts w:cs="Times New Roman"/>
          <w:color w:val="000000"/>
          <w:szCs w:val="24"/>
        </w:rPr>
        <w:t xml:space="preserve"> foi recusada</w:t>
      </w:r>
      <w:r w:rsidR="006A0B86">
        <w:rPr>
          <w:rFonts w:cs="Times New Roman"/>
          <w:color w:val="000000"/>
          <w:szCs w:val="24"/>
        </w:rPr>
        <w:t xml:space="preserve">. Mas o IPEA aprovou </w:t>
      </w:r>
      <w:r w:rsidR="002806F6">
        <w:rPr>
          <w:rFonts w:cs="Times New Roman"/>
          <w:color w:val="000000"/>
          <w:szCs w:val="24"/>
        </w:rPr>
        <w:t xml:space="preserve">um projeto similar, ainda que com inúmeras </w:t>
      </w:r>
      <w:r w:rsidR="006A0B86">
        <w:rPr>
          <w:rFonts w:cs="Times New Roman"/>
          <w:color w:val="000000"/>
          <w:szCs w:val="24"/>
        </w:rPr>
        <w:t xml:space="preserve">condicionalidades. </w:t>
      </w:r>
      <w:r w:rsidR="002806F6">
        <w:rPr>
          <w:rFonts w:cs="Times New Roman"/>
          <w:color w:val="000000"/>
          <w:szCs w:val="24"/>
        </w:rPr>
        <w:t xml:space="preserve">As mesmas </w:t>
      </w:r>
      <w:r w:rsidR="006A0B86">
        <w:rPr>
          <w:rFonts w:cs="Times New Roman"/>
          <w:color w:val="000000"/>
          <w:szCs w:val="24"/>
        </w:rPr>
        <w:t xml:space="preserve">foram atendidas num processo de negociação que envolveu quase todo o ano de 2009. Mas ao final do mesmo, tivemos o início do financiamento do IPEA. </w:t>
      </w:r>
      <w:r w:rsidR="002806F6">
        <w:rPr>
          <w:rFonts w:cs="Times New Roman"/>
          <w:color w:val="000000"/>
          <w:szCs w:val="24"/>
        </w:rPr>
        <w:t xml:space="preserve">O projeto negociado com o IPEA foi a base da versão do projeto de Bolsa Produtividade enviada ao CNPq em 2009, que veio a ser aprovado e implementado em 2010. </w:t>
      </w:r>
      <w:r w:rsidR="006A0B86">
        <w:rPr>
          <w:rFonts w:cs="Times New Roman"/>
        </w:rPr>
        <w:t>Desta forma, assim que o CNPq passou a financiar</w:t>
      </w:r>
      <w:r w:rsidR="002806F6">
        <w:rPr>
          <w:rFonts w:cs="Times New Roman"/>
        </w:rPr>
        <w:t xml:space="preserve"> </w:t>
      </w:r>
      <w:r w:rsidR="006A0B86">
        <w:rPr>
          <w:rFonts w:cs="Times New Roman"/>
        </w:rPr>
        <w:t xml:space="preserve">a pesquisa, ele já estava dando seus primeiros resultados. </w:t>
      </w:r>
    </w:p>
  </w:footnote>
  <w:footnote w:id="3">
    <w:p w14:paraId="3175EFA6" w14:textId="77777777" w:rsidR="00C71EE9" w:rsidRDefault="00C71EE9" w:rsidP="00C71EE9">
      <w:pPr>
        <w:pStyle w:val="Textodenotaderodap"/>
      </w:pPr>
      <w:r>
        <w:rPr>
          <w:rStyle w:val="Refdenotaderodap"/>
        </w:rPr>
        <w:footnoteRef/>
      </w:r>
      <w:r>
        <w:t xml:space="preserve"> </w:t>
      </w:r>
      <w:r w:rsidRPr="0085005B">
        <w:rPr>
          <w:rFonts w:cs="Times New Roman"/>
        </w:rPr>
        <w:t>O detalhamento destes resultados es</w:t>
      </w:r>
      <w:r>
        <w:rPr>
          <w:rFonts w:cs="Times New Roman"/>
        </w:rPr>
        <w:t>tão</w:t>
      </w:r>
      <w:r w:rsidRPr="0085005B">
        <w:rPr>
          <w:rFonts w:cs="Times New Roman"/>
        </w:rPr>
        <w:t xml:space="preserve"> </w:t>
      </w:r>
      <w:r>
        <w:rPr>
          <w:rFonts w:cs="Times New Roman"/>
        </w:rPr>
        <w:t>encontram-se</w:t>
      </w:r>
      <w:r w:rsidRPr="0085005B">
        <w:rPr>
          <w:rFonts w:cs="Times New Roman"/>
        </w:rPr>
        <w:t xml:space="preserve"> nos Anexos </w:t>
      </w:r>
      <w:r>
        <w:rPr>
          <w:rFonts w:cs="Times New Roman"/>
        </w:rPr>
        <w:t xml:space="preserve">2 e 3 </w:t>
      </w:r>
      <w:r w:rsidRPr="0085005B">
        <w:rPr>
          <w:rFonts w:cs="Times New Roman"/>
        </w:rPr>
        <w:t>a este documento.</w:t>
      </w:r>
    </w:p>
  </w:footnote>
  <w:footnote w:id="4">
    <w:p w14:paraId="1F3A5DEB" w14:textId="4392E994" w:rsidR="00B96B9B" w:rsidRDefault="00B96B9B">
      <w:pPr>
        <w:pStyle w:val="Textodenotaderodap"/>
      </w:pPr>
      <w:r>
        <w:rPr>
          <w:rStyle w:val="Refdenotaderodap"/>
        </w:rPr>
        <w:footnoteRef/>
      </w:r>
      <w:r>
        <w:t xml:space="preserve"> </w:t>
      </w:r>
      <w:r w:rsidR="003970DC">
        <w:rPr>
          <w:rFonts w:cs="Times New Roman"/>
          <w:color w:val="000000"/>
          <w:szCs w:val="24"/>
        </w:rPr>
        <w:t>E</w:t>
      </w:r>
      <w:r>
        <w:rPr>
          <w:rFonts w:cs="Times New Roman"/>
          <w:color w:val="000000"/>
          <w:szCs w:val="24"/>
        </w:rPr>
        <w:t xml:space="preserve">m correspondência de 12 de janeiro de 2012, </w:t>
      </w:r>
      <w:r w:rsidR="009036D7">
        <w:rPr>
          <w:rFonts w:cs="Times New Roman"/>
          <w:color w:val="000000"/>
          <w:szCs w:val="24"/>
        </w:rPr>
        <w:t xml:space="preserve">o CNPq </w:t>
      </w:r>
      <w:r>
        <w:rPr>
          <w:rFonts w:cs="Times New Roman"/>
          <w:color w:val="000000"/>
          <w:szCs w:val="24"/>
        </w:rPr>
        <w:t xml:space="preserve">exigiu o </w:t>
      </w:r>
      <w:r w:rsidRPr="009036D7">
        <w:rPr>
          <w:rFonts w:cs="Times New Roman"/>
          <w:b/>
          <w:bCs/>
          <w:color w:val="000000"/>
          <w:szCs w:val="24"/>
        </w:rPr>
        <w:t>ressarcimento</w:t>
      </w:r>
      <w:r>
        <w:rPr>
          <w:rFonts w:cs="Times New Roman"/>
          <w:color w:val="000000"/>
          <w:szCs w:val="24"/>
        </w:rPr>
        <w:t xml:space="preserve"> das mensalidades pagas entre março e novembro d</w:t>
      </w:r>
      <w:r w:rsidR="009036D7">
        <w:rPr>
          <w:rFonts w:cs="Times New Roman"/>
          <w:color w:val="000000"/>
          <w:szCs w:val="24"/>
        </w:rPr>
        <w:t xml:space="preserve">e 2011 </w:t>
      </w:r>
      <w:r>
        <w:rPr>
          <w:rFonts w:cs="Times New Roman"/>
          <w:color w:val="000000"/>
          <w:szCs w:val="24"/>
        </w:rPr>
        <w:t>em função de termos sido agraciados com uma Bolsa Cátedras do IPEA. Até entã</w:t>
      </w:r>
      <w:r w:rsidR="009036D7">
        <w:rPr>
          <w:rFonts w:cs="Times New Roman"/>
          <w:color w:val="000000"/>
          <w:szCs w:val="24"/>
        </w:rPr>
        <w:t>o,</w:t>
      </w:r>
      <w:r>
        <w:rPr>
          <w:rFonts w:cs="Times New Roman"/>
          <w:color w:val="000000"/>
          <w:szCs w:val="24"/>
        </w:rPr>
        <w:t xml:space="preserve"> desconhecíamos a regra que impedia um pesquisador de ser beneficiado com bolsas distintas para realizar pesquisas distintas no mesmo período. A devolução</w:t>
      </w:r>
      <w:r w:rsidR="006A0B86">
        <w:rPr>
          <w:rFonts w:cs="Times New Roman"/>
          <w:color w:val="000000"/>
          <w:szCs w:val="24"/>
        </w:rPr>
        <w:t xml:space="preserve"> de valores solicitada foi devidamente realizada. </w:t>
      </w:r>
      <w:r w:rsidR="009036D7">
        <w:rPr>
          <w:rFonts w:cs="Times New Roman"/>
          <w:color w:val="000000"/>
          <w:szCs w:val="24"/>
        </w:rPr>
        <w:t>Cabe frisar que, com a devolução, acreditamos que seria válido afirmar que a contribuição financeira do CNPq para a realização da pesquisa foi de apenas um ano</w:t>
      </w:r>
      <w:r w:rsidR="003970DC">
        <w:rPr>
          <w:rFonts w:cs="Times New Roman"/>
          <w:color w:val="000000"/>
          <w:szCs w:val="24"/>
        </w:rPr>
        <w:t xml:space="preserve"> (entre março de 2010 a fevereiro de 2011)</w:t>
      </w:r>
      <w:r w:rsidR="009036D7">
        <w:rPr>
          <w:rFonts w:cs="Times New Roman"/>
          <w:color w:val="000000"/>
          <w:szCs w:val="24"/>
        </w:rPr>
        <w:t>.</w:t>
      </w:r>
      <w:r w:rsidR="003970DC">
        <w:rPr>
          <w:rFonts w:cs="Times New Roman"/>
          <w:color w:val="000000"/>
          <w:szCs w:val="24"/>
        </w:rPr>
        <w:t xml:space="preserve"> Os documentos referentes a este processo fazem parte do Anexo 7 deste Relatório.  </w:t>
      </w:r>
      <w:r w:rsidR="009036D7">
        <w:rPr>
          <w:rFonts w:cs="Times New Roman"/>
          <w:color w:val="000000"/>
          <w:szCs w:val="24"/>
        </w:rPr>
        <w:t xml:space="preserve"> </w:t>
      </w:r>
    </w:p>
  </w:footnote>
  <w:footnote w:id="5">
    <w:p w14:paraId="4539C374" w14:textId="3CE9C9F4" w:rsidR="00F727C4" w:rsidRPr="0085005B" w:rsidRDefault="000B2FBB" w:rsidP="00C84140">
      <w:pPr>
        <w:pStyle w:val="Ttulo1"/>
        <w:numPr>
          <w:ilvl w:val="0"/>
          <w:numId w:val="2"/>
        </w:numPr>
        <w:tabs>
          <w:tab w:val="clear" w:pos="432"/>
        </w:tabs>
        <w:ind w:left="0" w:firstLine="0"/>
        <w:jc w:val="both"/>
        <w:rPr>
          <w:b w:val="0"/>
          <w:bCs w:val="0"/>
          <w:sz w:val="20"/>
          <w:szCs w:val="20"/>
          <w:lang w:val="pt-BR"/>
        </w:rPr>
      </w:pPr>
      <w:r w:rsidRPr="0085005B">
        <w:rPr>
          <w:rStyle w:val="Refdenotaderodap"/>
          <w:b w:val="0"/>
          <w:bCs w:val="0"/>
          <w:sz w:val="20"/>
          <w:szCs w:val="20"/>
        </w:rPr>
        <w:footnoteRef/>
      </w:r>
      <w:r w:rsidRPr="0085005B">
        <w:rPr>
          <w:b w:val="0"/>
          <w:bCs w:val="0"/>
          <w:sz w:val="20"/>
          <w:szCs w:val="20"/>
        </w:rPr>
        <w:t xml:space="preserve"> O </w:t>
      </w:r>
      <w:proofErr w:type="spellStart"/>
      <w:r w:rsidRPr="0085005B">
        <w:rPr>
          <w:b w:val="0"/>
          <w:bCs w:val="0"/>
          <w:sz w:val="20"/>
          <w:szCs w:val="20"/>
        </w:rPr>
        <w:t>detalhamento</w:t>
      </w:r>
      <w:proofErr w:type="spellEnd"/>
      <w:r w:rsidR="00EC0597">
        <w:rPr>
          <w:b w:val="0"/>
          <w:bCs w:val="0"/>
          <w:sz w:val="20"/>
          <w:szCs w:val="20"/>
        </w:rPr>
        <w:t xml:space="preserve"> </w:t>
      </w:r>
      <w:proofErr w:type="spellStart"/>
      <w:r w:rsidRPr="0085005B">
        <w:rPr>
          <w:b w:val="0"/>
          <w:bCs w:val="0"/>
          <w:sz w:val="20"/>
          <w:szCs w:val="20"/>
        </w:rPr>
        <w:t>des</w:t>
      </w:r>
      <w:r w:rsidR="00EC0597">
        <w:rPr>
          <w:b w:val="0"/>
          <w:bCs w:val="0"/>
          <w:sz w:val="20"/>
          <w:szCs w:val="20"/>
        </w:rPr>
        <w:t>s</w:t>
      </w:r>
      <w:r w:rsidRPr="0085005B">
        <w:rPr>
          <w:b w:val="0"/>
          <w:bCs w:val="0"/>
          <w:sz w:val="20"/>
          <w:szCs w:val="20"/>
        </w:rPr>
        <w:t>e</w:t>
      </w:r>
      <w:proofErr w:type="spellEnd"/>
      <w:r w:rsidRPr="0085005B">
        <w:rPr>
          <w:b w:val="0"/>
          <w:bCs w:val="0"/>
          <w:sz w:val="20"/>
          <w:szCs w:val="20"/>
        </w:rPr>
        <w:t xml:space="preserve"> </w:t>
      </w:r>
      <w:proofErr w:type="spellStart"/>
      <w:r w:rsidRPr="0085005B">
        <w:rPr>
          <w:b w:val="0"/>
          <w:bCs w:val="0"/>
          <w:sz w:val="20"/>
          <w:szCs w:val="20"/>
        </w:rPr>
        <w:t>processo</w:t>
      </w:r>
      <w:proofErr w:type="spellEnd"/>
      <w:r w:rsidRPr="0085005B">
        <w:rPr>
          <w:b w:val="0"/>
          <w:bCs w:val="0"/>
          <w:sz w:val="20"/>
          <w:szCs w:val="20"/>
        </w:rPr>
        <w:t xml:space="preserve"> </w:t>
      </w:r>
      <w:proofErr w:type="spellStart"/>
      <w:r w:rsidRPr="0085005B">
        <w:rPr>
          <w:b w:val="0"/>
          <w:bCs w:val="0"/>
          <w:sz w:val="20"/>
          <w:szCs w:val="20"/>
        </w:rPr>
        <w:t>encontra</w:t>
      </w:r>
      <w:proofErr w:type="spellEnd"/>
      <w:r w:rsidRPr="0085005B">
        <w:rPr>
          <w:b w:val="0"/>
          <w:bCs w:val="0"/>
          <w:sz w:val="20"/>
          <w:szCs w:val="20"/>
        </w:rPr>
        <w:t xml:space="preserve">-se no Anexo 1, </w:t>
      </w:r>
      <w:proofErr w:type="spellStart"/>
      <w:r w:rsidRPr="0085005B">
        <w:rPr>
          <w:b w:val="0"/>
          <w:bCs w:val="0"/>
          <w:sz w:val="20"/>
          <w:szCs w:val="20"/>
        </w:rPr>
        <w:t>intitulado</w:t>
      </w:r>
      <w:proofErr w:type="spellEnd"/>
      <w:r w:rsidRPr="0085005B">
        <w:rPr>
          <w:b w:val="0"/>
          <w:bCs w:val="0"/>
          <w:sz w:val="20"/>
          <w:szCs w:val="20"/>
        </w:rPr>
        <w:t xml:space="preserve"> “</w:t>
      </w:r>
      <w:r w:rsidR="00F727C4" w:rsidRPr="0085005B">
        <w:rPr>
          <w:b w:val="0"/>
          <w:bCs w:val="0"/>
          <w:sz w:val="20"/>
          <w:szCs w:val="20"/>
          <w:lang w:val="pt-BR"/>
        </w:rPr>
        <w:t>Oito Anos de Pesquisa: interpretando o desenvolvimento regional em geral e do Rio Grande do Sul, em particular”.</w:t>
      </w:r>
    </w:p>
    <w:p w14:paraId="540C026B" w14:textId="77777777" w:rsidR="00F727C4" w:rsidRPr="0085005B" w:rsidRDefault="00F727C4" w:rsidP="00C84140">
      <w:pPr>
        <w:rPr>
          <w:rFonts w:cs="Times New Roman"/>
          <w:sz w:val="20"/>
        </w:rPr>
      </w:pPr>
    </w:p>
    <w:p w14:paraId="29453C92" w14:textId="6BC5B56F" w:rsidR="000B2FBB" w:rsidRPr="0085005B" w:rsidRDefault="000B2FBB" w:rsidP="00C84140">
      <w:pPr>
        <w:pStyle w:val="Textodenotaderodap"/>
        <w:rPr>
          <w:rFonts w:cs="Times New Roman"/>
        </w:rPr>
      </w:pPr>
    </w:p>
  </w:footnote>
  <w:footnote w:id="6">
    <w:p w14:paraId="23E0FF40" w14:textId="03DFE1C6" w:rsidR="00D34CAC" w:rsidRPr="0085005B" w:rsidRDefault="00D34CAC" w:rsidP="00C84140">
      <w:pPr>
        <w:pStyle w:val="Textodenotaderodap"/>
        <w:rPr>
          <w:rFonts w:cs="Times New Roman"/>
        </w:rPr>
      </w:pPr>
      <w:r w:rsidRPr="0085005B">
        <w:rPr>
          <w:rStyle w:val="Refdenotaderodap"/>
          <w:rFonts w:cs="Times New Roman"/>
        </w:rPr>
        <w:footnoteRef/>
      </w:r>
      <w:r w:rsidRPr="0085005B">
        <w:rPr>
          <w:rFonts w:cs="Times New Roman"/>
        </w:rPr>
        <w:t xml:space="preserve"> </w:t>
      </w:r>
      <w:r w:rsidR="005F23B9" w:rsidRPr="0085005B">
        <w:rPr>
          <w:rFonts w:cs="Times New Roman"/>
        </w:rPr>
        <w:t xml:space="preserve">Das quatro variáveis referidas acima, a divergência das dinâmicas demográficas dos diversos territórios é a mais alarmante. Vai se completar a terceira década em que a Mesorregião Noroeste do RS (núcleo </w:t>
      </w:r>
      <w:proofErr w:type="spellStart"/>
      <w:r w:rsidR="005F23B9" w:rsidRPr="0085005B">
        <w:rPr>
          <w:rFonts w:cs="Times New Roman"/>
        </w:rPr>
        <w:t>sojícola</w:t>
      </w:r>
      <w:proofErr w:type="spellEnd"/>
      <w:r w:rsidR="005F23B9" w:rsidRPr="0085005B">
        <w:rPr>
          <w:rFonts w:cs="Times New Roman"/>
        </w:rPr>
        <w:t xml:space="preserve"> do Estado) apresenta decréscimo de população. Em contraste com regiões do Oeste catarinense e paranaense, que se especializaram na pecuária de pequenos animais. Os diferenciais em termos de renda e industrialização também são muito expressivos. Porém, t</w:t>
      </w:r>
      <w:r w:rsidRPr="0085005B">
        <w:rPr>
          <w:rFonts w:cs="Times New Roman"/>
        </w:rPr>
        <w:t xml:space="preserve">endo em vista a complexidade da avaliação do processo de desenvolvimento industrial (cujas “medidas” em termos de diversificação, encadeamento, complexidade e padrão tecnológico são, elas mesmas, objeto de polêmica) e tendo em vista que a evolução da renda pessoal dos domiciliados é uma variável que só alcança ser capturada nos Censos Demográficos decenais (vale dizer, é uma variável </w:t>
      </w:r>
      <w:r w:rsidRPr="0085005B">
        <w:rPr>
          <w:rFonts w:cs="Times New Roman"/>
          <w:b/>
          <w:bCs/>
        </w:rPr>
        <w:t>declarada</w:t>
      </w:r>
      <w:r w:rsidRPr="0085005B">
        <w:rPr>
          <w:rFonts w:cs="Times New Roman"/>
        </w:rPr>
        <w:t xml:space="preserve"> pelos entrevistados) e que comporta inúmeras fontes (dentre as quais, o sistema de Previdência, que </w:t>
      </w:r>
      <w:r w:rsidR="005F23B9" w:rsidRPr="0085005B">
        <w:rPr>
          <w:rFonts w:cs="Times New Roman"/>
        </w:rPr>
        <w:t xml:space="preserve">atinge o trabalhador rural apenas no final do século passado), eles são menos evidentes e as conclusões são menos categóricas. </w:t>
      </w:r>
    </w:p>
  </w:footnote>
  <w:footnote w:id="7">
    <w:p w14:paraId="3E54D24B" w14:textId="12FE0040" w:rsidR="00CB4044" w:rsidRPr="0085005B" w:rsidRDefault="00CB4044" w:rsidP="00C84140">
      <w:pPr>
        <w:pStyle w:val="Textodenotaderodap"/>
        <w:rPr>
          <w:rFonts w:cs="Times New Roman"/>
        </w:rPr>
      </w:pPr>
      <w:r w:rsidRPr="0085005B">
        <w:rPr>
          <w:rStyle w:val="Refdenotaderodap"/>
          <w:rFonts w:cs="Times New Roman"/>
        </w:rPr>
        <w:footnoteRef/>
      </w:r>
      <w:r w:rsidRPr="0085005B">
        <w:rPr>
          <w:rFonts w:cs="Times New Roman"/>
        </w:rPr>
        <w:t xml:space="preserve"> A este respeito, veja-se Paiva, 2007c.</w:t>
      </w:r>
    </w:p>
  </w:footnote>
  <w:footnote w:id="8">
    <w:p w14:paraId="77EA4B97" w14:textId="61AADB46" w:rsidR="00B462C5" w:rsidRPr="0085005B" w:rsidRDefault="00B462C5" w:rsidP="00C84140">
      <w:pPr>
        <w:pStyle w:val="Textodenotaderodap"/>
        <w:rPr>
          <w:rFonts w:cs="Times New Roman"/>
        </w:rPr>
      </w:pPr>
      <w:r w:rsidRPr="0085005B">
        <w:rPr>
          <w:rStyle w:val="Refdenotaderodap"/>
          <w:rFonts w:cs="Times New Roman"/>
        </w:rPr>
        <w:footnoteRef/>
      </w:r>
      <w:r w:rsidRPr="0085005B">
        <w:rPr>
          <w:rFonts w:cs="Times New Roman"/>
        </w:rPr>
        <w:t xml:space="preserve"> </w:t>
      </w:r>
      <w:r w:rsidR="00B1206A" w:rsidRPr="0085005B">
        <w:rPr>
          <w:rFonts w:cs="Times New Roman"/>
        </w:rPr>
        <w:t xml:space="preserve">Aparentemente, há apenas duas exceções a este esquema mais geral. </w:t>
      </w:r>
      <w:r w:rsidR="00C84140">
        <w:rPr>
          <w:rFonts w:cs="Times New Roman"/>
        </w:rPr>
        <w:t xml:space="preserve">E, mesmo assim, elas são parciais, seja em termos geográficos, seja em termos temporais. </w:t>
      </w:r>
      <w:r w:rsidR="00B1206A" w:rsidRPr="0085005B">
        <w:rPr>
          <w:rFonts w:cs="Times New Roman"/>
        </w:rPr>
        <w:t>A primeira</w:t>
      </w:r>
      <w:r w:rsidR="00C84140">
        <w:rPr>
          <w:rFonts w:cs="Times New Roman"/>
        </w:rPr>
        <w:t xml:space="preserve"> exceção</w:t>
      </w:r>
      <w:r w:rsidR="00B1206A" w:rsidRPr="0085005B">
        <w:rPr>
          <w:rFonts w:cs="Times New Roman"/>
        </w:rPr>
        <w:t xml:space="preserve">, </w:t>
      </w:r>
      <w:r w:rsidR="00C84140">
        <w:rPr>
          <w:rFonts w:cs="Times New Roman"/>
        </w:rPr>
        <w:t>está associada à conversão</w:t>
      </w:r>
      <w:r w:rsidR="00B1206A" w:rsidRPr="0085005B">
        <w:rPr>
          <w:rFonts w:cs="Times New Roman"/>
        </w:rPr>
        <w:t xml:space="preserve"> à produção de alimentos por parcela dos grandes fazendeiros paulistas após a Guerra dos Emboabas</w:t>
      </w:r>
      <w:r w:rsidR="00C84140">
        <w:rPr>
          <w:rFonts w:cs="Times New Roman"/>
        </w:rPr>
        <w:t xml:space="preserve">; </w:t>
      </w:r>
      <w:r w:rsidR="00B1206A" w:rsidRPr="0085005B">
        <w:rPr>
          <w:rFonts w:cs="Times New Roman"/>
        </w:rPr>
        <w:t xml:space="preserve">que levou à expulsão </w:t>
      </w:r>
      <w:r w:rsidR="00C84140">
        <w:rPr>
          <w:rFonts w:cs="Times New Roman"/>
        </w:rPr>
        <w:t>dos</w:t>
      </w:r>
      <w:r w:rsidR="00B1206A" w:rsidRPr="0085005B">
        <w:rPr>
          <w:rFonts w:cs="Times New Roman"/>
        </w:rPr>
        <w:t xml:space="preserve"> bandeirantes da região de mineração. Sobre o papel econômico, político e social deste </w:t>
      </w:r>
      <w:r w:rsidR="00C84140">
        <w:rPr>
          <w:rFonts w:cs="Times New Roman"/>
        </w:rPr>
        <w:t>latifundiário produtor e comerciante de alimentos na história do Brasil</w:t>
      </w:r>
      <w:r w:rsidR="00B1206A" w:rsidRPr="0085005B">
        <w:rPr>
          <w:rFonts w:cs="Times New Roman"/>
        </w:rPr>
        <w:t>, v</w:t>
      </w:r>
      <w:r w:rsidR="00C84140">
        <w:rPr>
          <w:rFonts w:cs="Times New Roman"/>
        </w:rPr>
        <w:t xml:space="preserve">ale ler </w:t>
      </w:r>
      <w:r w:rsidR="00C84140" w:rsidRPr="00C84140">
        <w:rPr>
          <w:rFonts w:cs="Times New Roman"/>
          <w:i/>
          <w:iCs/>
        </w:rPr>
        <w:t>As Tropas da Moderação</w:t>
      </w:r>
      <w:r w:rsidR="00C84140">
        <w:rPr>
          <w:rFonts w:cs="Times New Roman"/>
        </w:rPr>
        <w:t xml:space="preserve">, de Alcir </w:t>
      </w:r>
      <w:proofErr w:type="spellStart"/>
      <w:r w:rsidR="00B1206A" w:rsidRPr="0085005B">
        <w:rPr>
          <w:rFonts w:cs="Times New Roman"/>
        </w:rPr>
        <w:t>Lenharo</w:t>
      </w:r>
      <w:proofErr w:type="spellEnd"/>
      <w:r w:rsidR="00FE4604">
        <w:rPr>
          <w:rFonts w:cs="Times New Roman"/>
        </w:rPr>
        <w:t xml:space="preserve"> (19</w:t>
      </w:r>
      <w:r w:rsidR="00C84140">
        <w:rPr>
          <w:rFonts w:cs="Times New Roman"/>
        </w:rPr>
        <w:t>79</w:t>
      </w:r>
      <w:r w:rsidR="00FE4604">
        <w:rPr>
          <w:rFonts w:cs="Times New Roman"/>
        </w:rPr>
        <w:t xml:space="preserve">). A segunda exceção é </w:t>
      </w:r>
      <w:r w:rsidR="00C84140">
        <w:rPr>
          <w:rFonts w:cs="Times New Roman"/>
        </w:rPr>
        <w:t>ela mesma dúplice: refere-se à</w:t>
      </w:r>
      <w:r w:rsidR="00FE4604">
        <w:rPr>
          <w:rFonts w:cs="Times New Roman"/>
        </w:rPr>
        <w:t xml:space="preserve">quelas regiões </w:t>
      </w:r>
      <w:r w:rsidR="00C84140">
        <w:rPr>
          <w:rFonts w:cs="Times New Roman"/>
        </w:rPr>
        <w:t xml:space="preserve">periféricas </w:t>
      </w:r>
      <w:r w:rsidR="00FE4604">
        <w:rPr>
          <w:rFonts w:cs="Times New Roman"/>
        </w:rPr>
        <w:t>cujo sistema econômico foi constituído a partir da bovinocultura de corte</w:t>
      </w:r>
      <w:r w:rsidR="00C84140">
        <w:rPr>
          <w:rFonts w:cs="Times New Roman"/>
        </w:rPr>
        <w:t>,</w:t>
      </w:r>
      <w:r w:rsidR="00FE4604">
        <w:rPr>
          <w:rFonts w:cs="Times New Roman"/>
        </w:rPr>
        <w:t xml:space="preserve"> seja na forma de charque, carne de sol ou carne “verde”. </w:t>
      </w:r>
      <w:r w:rsidR="00770791">
        <w:rPr>
          <w:rFonts w:cs="Times New Roman"/>
        </w:rPr>
        <w:t>O</w:t>
      </w:r>
      <w:r w:rsidR="00FE4604">
        <w:rPr>
          <w:rFonts w:cs="Times New Roman"/>
        </w:rPr>
        <w:t xml:space="preserve"> extremo sul e a porção norte do Nordeste </w:t>
      </w:r>
      <w:r w:rsidR="00770791">
        <w:rPr>
          <w:rFonts w:cs="Times New Roman"/>
        </w:rPr>
        <w:t xml:space="preserve">brasileiro </w:t>
      </w:r>
      <w:r w:rsidR="00FE4604">
        <w:rPr>
          <w:rFonts w:cs="Times New Roman"/>
        </w:rPr>
        <w:t xml:space="preserve">(em especial, Ceará e Piauí, mas com repercussões no Rio Grande do Norte, Maranhão e na porção noroeste da Bahia) estruturaram suas economias sobre a pecuária e, por extensão, sobre o mercado interno. </w:t>
      </w:r>
      <w:r w:rsidR="00770791">
        <w:rPr>
          <w:rFonts w:cs="Times New Roman"/>
        </w:rPr>
        <w:t>Vale observar que, a</w:t>
      </w:r>
      <w:r w:rsidR="00D71556">
        <w:rPr>
          <w:rFonts w:cs="Times New Roman"/>
        </w:rPr>
        <w:t xml:space="preserve"> despeito d</w:t>
      </w:r>
      <w:r w:rsidR="00770791">
        <w:rPr>
          <w:rFonts w:cs="Times New Roman"/>
        </w:rPr>
        <w:t xml:space="preserve">estes três territórios apresentarem estruturas fundiárias excludentes, </w:t>
      </w:r>
      <w:r w:rsidR="00D71556">
        <w:rPr>
          <w:rFonts w:cs="Times New Roman"/>
        </w:rPr>
        <w:t>São Paulo, Ceará e Rio Grande do Sul serão protagonistas na transição republicana</w:t>
      </w:r>
      <w:r w:rsidR="00770791">
        <w:rPr>
          <w:rFonts w:cs="Times New Roman"/>
        </w:rPr>
        <w:t xml:space="preserve"> e n</w:t>
      </w:r>
      <w:r w:rsidR="00D71556">
        <w:rPr>
          <w:rFonts w:cs="Times New Roman"/>
        </w:rPr>
        <w:t>a abolição da escravidão. Ao contrário do café fluminense e do canavial nordestino, a excludência nas três províncias referidas não est</w:t>
      </w:r>
      <w:r w:rsidR="00770791">
        <w:rPr>
          <w:rFonts w:cs="Times New Roman"/>
        </w:rPr>
        <w:t>ava</w:t>
      </w:r>
      <w:r w:rsidR="00D71556">
        <w:rPr>
          <w:rFonts w:cs="Times New Roman"/>
        </w:rPr>
        <w:t xml:space="preserve"> referida diretamente ao escravismo. </w:t>
      </w:r>
      <w:r w:rsidR="00770791">
        <w:rPr>
          <w:rFonts w:cs="Times New Roman"/>
        </w:rPr>
        <w:t xml:space="preserve">O assalariamento era tão ou mais funcional, enquanto sistema de exploração. Mas que se entenda bem: os vínculos da agricultura empresarial capitalista com a agricultura permanente são tão fortes neste país que </w:t>
      </w:r>
      <w:r w:rsidR="00D71556">
        <w:rPr>
          <w:rFonts w:cs="Times New Roman"/>
        </w:rPr>
        <w:t xml:space="preserve">a agricultura patronal paulista </w:t>
      </w:r>
      <w:r w:rsidR="00770791">
        <w:rPr>
          <w:rFonts w:cs="Times New Roman"/>
        </w:rPr>
        <w:t>acabou por se converter ao</w:t>
      </w:r>
      <w:r w:rsidR="00D71556">
        <w:rPr>
          <w:rFonts w:cs="Times New Roman"/>
        </w:rPr>
        <w:t xml:space="preserve">s cultivos permanentes ou semipermanentes: </w:t>
      </w:r>
      <w:r w:rsidR="00770791">
        <w:rPr>
          <w:rFonts w:cs="Times New Roman"/>
        </w:rPr>
        <w:t xml:space="preserve">especializando-se, a partir de meados do século XIX em </w:t>
      </w:r>
      <w:r w:rsidR="00D71556">
        <w:rPr>
          <w:rFonts w:cs="Times New Roman"/>
        </w:rPr>
        <w:t>café</w:t>
      </w:r>
      <w:r w:rsidR="00770791">
        <w:rPr>
          <w:rFonts w:cs="Times New Roman"/>
        </w:rPr>
        <w:t xml:space="preserve"> e </w:t>
      </w:r>
      <w:r w:rsidR="00D71556">
        <w:rPr>
          <w:rFonts w:cs="Times New Roman"/>
        </w:rPr>
        <w:t>pecuária bovina</w:t>
      </w:r>
      <w:r w:rsidR="00770791">
        <w:rPr>
          <w:rFonts w:cs="Times New Roman"/>
        </w:rPr>
        <w:t xml:space="preserve">. E a partir de meados do século XX, </w:t>
      </w:r>
      <w:r w:rsidR="00D37F47">
        <w:rPr>
          <w:rFonts w:cs="Times New Roman"/>
        </w:rPr>
        <w:t xml:space="preserve">também </w:t>
      </w:r>
      <w:r w:rsidR="00770791">
        <w:rPr>
          <w:rFonts w:cs="Times New Roman"/>
        </w:rPr>
        <w:t>e</w:t>
      </w:r>
      <w:r w:rsidR="00D37F47">
        <w:rPr>
          <w:rFonts w:cs="Times New Roman"/>
        </w:rPr>
        <w:t>m</w:t>
      </w:r>
      <w:r w:rsidR="00770791">
        <w:rPr>
          <w:rFonts w:cs="Times New Roman"/>
        </w:rPr>
        <w:t xml:space="preserve"> cana-de-açúcar</w:t>
      </w:r>
      <w:r w:rsidR="00D71556">
        <w:rPr>
          <w:rFonts w:cs="Times New Roman"/>
        </w:rPr>
        <w:t xml:space="preserve"> e fruticultura.</w:t>
      </w:r>
    </w:p>
  </w:footnote>
  <w:footnote w:id="9">
    <w:p w14:paraId="33B820C3" w14:textId="19598D0C" w:rsidR="005D274D" w:rsidRPr="0085005B" w:rsidRDefault="005D274D" w:rsidP="00C84140">
      <w:pPr>
        <w:pStyle w:val="Textodenotaderodap"/>
        <w:rPr>
          <w:rFonts w:cs="Times New Roman"/>
        </w:rPr>
      </w:pPr>
      <w:r w:rsidRPr="0085005B">
        <w:rPr>
          <w:rStyle w:val="Refdenotaderodap"/>
          <w:rFonts w:cs="Times New Roman"/>
        </w:rPr>
        <w:footnoteRef/>
      </w:r>
      <w:r w:rsidRPr="0085005B">
        <w:rPr>
          <w:rFonts w:cs="Times New Roman"/>
        </w:rPr>
        <w:t xml:space="preserve"> Estes agentes foram fundamentais na reconversão produtiva das regiões do Oeste de Santa Catarina e Paraná analisadas no trabalho de dissertação de Lucir Alves, sob minha orientação.</w:t>
      </w:r>
      <w:r w:rsidR="000D5973" w:rsidRPr="0085005B">
        <w:rPr>
          <w:rFonts w:cs="Times New Roman"/>
        </w:rPr>
        <w:t xml:space="preserve"> Os</w:t>
      </w:r>
      <w:r w:rsidRPr="0085005B">
        <w:rPr>
          <w:rFonts w:cs="Times New Roman"/>
          <w:color w:val="000000"/>
        </w:rPr>
        <w:t xml:space="preserve"> </w:t>
      </w:r>
      <w:r w:rsidR="000D5973" w:rsidRPr="0085005B">
        <w:rPr>
          <w:rFonts w:cs="Times New Roman"/>
          <w:color w:val="000000"/>
        </w:rPr>
        <w:t xml:space="preserve">grandes frigoríficos </w:t>
      </w:r>
      <w:r w:rsidRPr="0085005B">
        <w:rPr>
          <w:rFonts w:cs="Times New Roman"/>
          <w:color w:val="000000"/>
        </w:rPr>
        <w:t>catarine</w:t>
      </w:r>
      <w:r w:rsidR="00112E7E" w:rsidRPr="0085005B">
        <w:rPr>
          <w:rFonts w:cs="Times New Roman"/>
          <w:color w:val="000000"/>
        </w:rPr>
        <w:t xml:space="preserve">nses </w:t>
      </w:r>
      <w:r w:rsidR="000D5973" w:rsidRPr="0085005B">
        <w:rPr>
          <w:rFonts w:cs="Times New Roman"/>
          <w:color w:val="000000"/>
        </w:rPr>
        <w:t>(</w:t>
      </w:r>
      <w:r w:rsidRPr="0085005B">
        <w:rPr>
          <w:rFonts w:cs="Times New Roman"/>
          <w:color w:val="000000"/>
        </w:rPr>
        <w:t>como Sadia e Perdigão</w:t>
      </w:r>
      <w:r w:rsidR="000D5973" w:rsidRPr="0085005B">
        <w:rPr>
          <w:rFonts w:cs="Times New Roman"/>
          <w:color w:val="000000"/>
        </w:rPr>
        <w:t>)</w:t>
      </w:r>
      <w:r w:rsidRPr="0085005B">
        <w:rPr>
          <w:rFonts w:cs="Times New Roman"/>
          <w:color w:val="000000"/>
        </w:rPr>
        <w:t xml:space="preserve"> e </w:t>
      </w:r>
      <w:r w:rsidR="000D5973" w:rsidRPr="0085005B">
        <w:rPr>
          <w:rFonts w:cs="Times New Roman"/>
          <w:color w:val="000000"/>
        </w:rPr>
        <w:t xml:space="preserve">as grandes </w:t>
      </w:r>
      <w:r w:rsidRPr="0085005B">
        <w:rPr>
          <w:rFonts w:cs="Times New Roman"/>
          <w:color w:val="000000"/>
        </w:rPr>
        <w:t xml:space="preserve">cooperativas </w:t>
      </w:r>
      <w:r w:rsidR="000D5973" w:rsidRPr="0085005B">
        <w:rPr>
          <w:rFonts w:cs="Times New Roman"/>
          <w:color w:val="000000"/>
        </w:rPr>
        <w:t xml:space="preserve">do Oeste catarinense e paranaense (em especial, </w:t>
      </w:r>
      <w:r w:rsidRPr="0085005B">
        <w:rPr>
          <w:rFonts w:cs="Times New Roman"/>
          <w:color w:val="000000"/>
        </w:rPr>
        <w:t xml:space="preserve">Lar, </w:t>
      </w:r>
      <w:proofErr w:type="spellStart"/>
      <w:r w:rsidRPr="0085005B">
        <w:rPr>
          <w:rFonts w:cs="Times New Roman"/>
          <w:color w:val="000000"/>
        </w:rPr>
        <w:t>Cevale</w:t>
      </w:r>
      <w:proofErr w:type="spellEnd"/>
      <w:r w:rsidRPr="0085005B">
        <w:rPr>
          <w:rFonts w:cs="Times New Roman"/>
          <w:color w:val="000000"/>
        </w:rPr>
        <w:t xml:space="preserve">, </w:t>
      </w:r>
      <w:proofErr w:type="spellStart"/>
      <w:r w:rsidRPr="0085005B">
        <w:rPr>
          <w:rFonts w:cs="Times New Roman"/>
          <w:color w:val="000000"/>
        </w:rPr>
        <w:t>Frimesa</w:t>
      </w:r>
      <w:proofErr w:type="spellEnd"/>
      <w:r w:rsidRPr="0085005B">
        <w:rPr>
          <w:rFonts w:cs="Times New Roman"/>
          <w:color w:val="000000"/>
        </w:rPr>
        <w:t xml:space="preserve"> e Aurora) </w:t>
      </w:r>
      <w:r w:rsidR="000D5973" w:rsidRPr="0085005B">
        <w:rPr>
          <w:rFonts w:cs="Times New Roman"/>
          <w:color w:val="000000"/>
        </w:rPr>
        <w:t xml:space="preserve">foram agentes fundamentais da transição da agricultura familiar nestes dois Estados da soja para a pecuária de pequenos animais e a bovinocultura de leite. As empresas e cooperativas gaúchas não alcançaram cumprir um papel similar. </w:t>
      </w:r>
    </w:p>
  </w:footnote>
  <w:footnote w:id="10">
    <w:p w14:paraId="6FF79C4E" w14:textId="643D34AC" w:rsidR="00687C78" w:rsidRDefault="00687C78">
      <w:pPr>
        <w:pStyle w:val="Textodenotaderodap"/>
      </w:pPr>
      <w:r>
        <w:rPr>
          <w:rStyle w:val="Refdenotaderodap"/>
        </w:rPr>
        <w:footnoteRef/>
      </w:r>
      <w:r>
        <w:t xml:space="preserve"> </w:t>
      </w:r>
      <w:r w:rsidR="000216B3">
        <w:t xml:space="preserve">A despeito do padrão “telegráfico” de apresentação de suas teses, acreditamos que o autor que expõe a peculiaridade da precificação </w:t>
      </w:r>
      <w:r w:rsidR="007C0152">
        <w:t>n</w:t>
      </w:r>
      <w:r w:rsidR="000216B3">
        <w:t xml:space="preserve">a produção agropecuária (em contraposição ao processo de formação de preços que caracteriza as diversas indústrias e serviços) é </w:t>
      </w:r>
      <w:proofErr w:type="spellStart"/>
      <w:r w:rsidR="000216B3">
        <w:t>Michal</w:t>
      </w:r>
      <w:proofErr w:type="spellEnd"/>
      <w:r w:rsidR="000216B3">
        <w:t xml:space="preserve"> </w:t>
      </w:r>
      <w:proofErr w:type="spellStart"/>
      <w:r w:rsidR="000216B3">
        <w:t>Kalecki</w:t>
      </w:r>
      <w:proofErr w:type="spellEnd"/>
      <w:r w:rsidR="000216B3">
        <w:t xml:space="preserve">. A este respeito, veja-se o primeiro capítulo de </w:t>
      </w:r>
      <w:proofErr w:type="spellStart"/>
      <w:r w:rsidR="000216B3">
        <w:t>Kalecki</w:t>
      </w:r>
      <w:proofErr w:type="spellEnd"/>
      <w:r w:rsidR="000216B3">
        <w:t xml:space="preserve"> (1954</w:t>
      </w:r>
      <w:r w:rsidR="007C0152">
        <w:t>).</w:t>
      </w:r>
    </w:p>
  </w:footnote>
  <w:footnote w:id="11">
    <w:p w14:paraId="192E7D2C" w14:textId="5A9FF68A" w:rsidR="007C0152" w:rsidRDefault="007C0152">
      <w:pPr>
        <w:pStyle w:val="Textodenotaderodap"/>
      </w:pPr>
      <w:r>
        <w:rPr>
          <w:rStyle w:val="Refdenotaderodap"/>
        </w:rPr>
        <w:footnoteRef/>
      </w:r>
      <w:r>
        <w:t xml:space="preserve"> Tratamos desta questão com mais detalhes na parte inicial do documento que perfaz o Anexo 2 deste Relatório.</w:t>
      </w:r>
    </w:p>
  </w:footnote>
  <w:footnote w:id="12">
    <w:p w14:paraId="762B61D6" w14:textId="15E24A80" w:rsidR="000209BE" w:rsidRPr="0085005B" w:rsidRDefault="000209BE" w:rsidP="00C84140">
      <w:pPr>
        <w:pStyle w:val="Textodenotaderodap"/>
        <w:rPr>
          <w:rFonts w:cs="Times New Roman"/>
        </w:rPr>
      </w:pPr>
      <w:r w:rsidRPr="0085005B">
        <w:rPr>
          <w:rStyle w:val="Refdenotaderodap"/>
          <w:rFonts w:cs="Times New Roman"/>
        </w:rPr>
        <w:footnoteRef/>
      </w:r>
      <w:r w:rsidRPr="0085005B">
        <w:rPr>
          <w:rFonts w:cs="Times New Roman"/>
        </w:rPr>
        <w:t xml:space="preserve"> E</w:t>
      </w:r>
      <w:r w:rsidR="000D5973" w:rsidRPr="0085005B">
        <w:rPr>
          <w:rFonts w:cs="Times New Roman"/>
        </w:rPr>
        <w:t>ste problema é o tema central da pesquisa coordenada por Ricardo Abramovay e que vai dar origem ao trabalho citado</w:t>
      </w:r>
      <w:r w:rsidR="009D15AB" w:rsidRPr="0085005B">
        <w:rPr>
          <w:rFonts w:cs="Times New Roman"/>
        </w:rPr>
        <w:t xml:space="preserve"> anteriormente e</w:t>
      </w:r>
      <w:r w:rsidR="00A574D1" w:rsidRPr="0085005B">
        <w:rPr>
          <w:rFonts w:cs="Times New Roman"/>
        </w:rPr>
        <w:t xml:space="preserve"> publicado</w:t>
      </w:r>
      <w:r w:rsidR="000D5973" w:rsidRPr="0085005B">
        <w:rPr>
          <w:rFonts w:cs="Times New Roman"/>
        </w:rPr>
        <w:t xml:space="preserve"> </w:t>
      </w:r>
      <w:r w:rsidR="00A574D1" w:rsidRPr="0085005B">
        <w:rPr>
          <w:rFonts w:cs="Times New Roman"/>
        </w:rPr>
        <w:t>em</w:t>
      </w:r>
      <w:r w:rsidR="000D5973" w:rsidRPr="0085005B">
        <w:rPr>
          <w:rFonts w:cs="Times New Roman"/>
        </w:rPr>
        <w:t xml:space="preserve"> 1998. </w:t>
      </w:r>
      <w:r w:rsidR="00A574D1" w:rsidRPr="0085005B">
        <w:rPr>
          <w:rFonts w:cs="Times New Roman"/>
        </w:rPr>
        <w:t>A</w:t>
      </w:r>
      <w:r w:rsidR="000D5973" w:rsidRPr="0085005B">
        <w:rPr>
          <w:rFonts w:cs="Times New Roman"/>
        </w:rPr>
        <w:t xml:space="preserve"> </w:t>
      </w:r>
      <w:r w:rsidR="00A574D1" w:rsidRPr="0085005B">
        <w:rPr>
          <w:rFonts w:cs="Times New Roman"/>
        </w:rPr>
        <w:t xml:space="preserve">amostra da </w:t>
      </w:r>
      <w:r w:rsidR="000D5973" w:rsidRPr="0085005B">
        <w:rPr>
          <w:rFonts w:cs="Times New Roman"/>
        </w:rPr>
        <w:t>pesquisa</w:t>
      </w:r>
      <w:r w:rsidR="009D15AB" w:rsidRPr="0085005B">
        <w:rPr>
          <w:rFonts w:cs="Times New Roman"/>
        </w:rPr>
        <w:t xml:space="preserve"> coordenada por Abramovay </w:t>
      </w:r>
      <w:r w:rsidR="00A574D1" w:rsidRPr="0085005B">
        <w:rPr>
          <w:rFonts w:cs="Times New Roman"/>
        </w:rPr>
        <w:t>era composta exclusivamente por agricultores familiares catarinenses. Ela foi re</w:t>
      </w:r>
      <w:r w:rsidR="000D5973" w:rsidRPr="0085005B">
        <w:rPr>
          <w:rFonts w:cs="Times New Roman"/>
        </w:rPr>
        <w:t>plicada e</w:t>
      </w:r>
      <w:r w:rsidR="00A574D1" w:rsidRPr="0085005B">
        <w:rPr>
          <w:rFonts w:cs="Times New Roman"/>
        </w:rPr>
        <w:t>m</w:t>
      </w:r>
      <w:r w:rsidR="000D5973" w:rsidRPr="0085005B">
        <w:rPr>
          <w:rFonts w:cs="Times New Roman"/>
        </w:rPr>
        <w:t xml:space="preserve"> agricultores familiares da Quarta Colônia </w:t>
      </w:r>
      <w:r w:rsidR="00A574D1" w:rsidRPr="0085005B">
        <w:rPr>
          <w:rFonts w:cs="Times New Roman"/>
        </w:rPr>
        <w:t>I</w:t>
      </w:r>
      <w:r w:rsidR="000D5973" w:rsidRPr="0085005B">
        <w:rPr>
          <w:rFonts w:cs="Times New Roman"/>
        </w:rPr>
        <w:t>taliana</w:t>
      </w:r>
      <w:r w:rsidR="00A574D1" w:rsidRPr="0085005B">
        <w:rPr>
          <w:rFonts w:cs="Times New Roman"/>
        </w:rPr>
        <w:t>,</w:t>
      </w:r>
      <w:r w:rsidR="000D5973" w:rsidRPr="0085005B">
        <w:rPr>
          <w:rFonts w:cs="Times New Roman"/>
        </w:rPr>
        <w:t xml:space="preserve"> na região central do Rio Grande do Sul</w:t>
      </w:r>
      <w:r w:rsidR="00A574D1" w:rsidRPr="0085005B">
        <w:rPr>
          <w:rFonts w:cs="Times New Roman"/>
        </w:rPr>
        <w:t>, po</w:t>
      </w:r>
      <w:r w:rsidR="00ED48E3" w:rsidRPr="0085005B">
        <w:rPr>
          <w:rFonts w:cs="Times New Roman"/>
        </w:rPr>
        <w:t xml:space="preserve">r </w:t>
      </w:r>
      <w:proofErr w:type="spellStart"/>
      <w:r w:rsidR="00ED48E3" w:rsidRPr="0085005B">
        <w:rPr>
          <w:rFonts w:cs="Times New Roman"/>
        </w:rPr>
        <w:t>Rosani</w:t>
      </w:r>
      <w:proofErr w:type="spellEnd"/>
      <w:r w:rsidR="00ED48E3" w:rsidRPr="0085005B">
        <w:rPr>
          <w:rFonts w:cs="Times New Roman"/>
        </w:rPr>
        <w:t xml:space="preserve"> </w:t>
      </w:r>
      <w:proofErr w:type="spellStart"/>
      <w:r w:rsidR="00ED48E3" w:rsidRPr="0085005B">
        <w:rPr>
          <w:rFonts w:cs="Times New Roman"/>
        </w:rPr>
        <w:t>Spanevello</w:t>
      </w:r>
      <w:proofErr w:type="spellEnd"/>
      <w:r w:rsidR="00ED48E3" w:rsidRPr="0085005B">
        <w:rPr>
          <w:rFonts w:cs="Times New Roman"/>
        </w:rPr>
        <w:t xml:space="preserve"> em </w:t>
      </w:r>
      <w:r w:rsidRPr="0085005B">
        <w:rPr>
          <w:rFonts w:cs="Times New Roman"/>
        </w:rPr>
        <w:t>sua tese de doutorado em Desenvolvimento Rural</w:t>
      </w:r>
      <w:r w:rsidR="00ED48E3" w:rsidRPr="0085005B">
        <w:rPr>
          <w:rFonts w:cs="Times New Roman"/>
        </w:rPr>
        <w:t xml:space="preserve"> (2008). </w:t>
      </w:r>
      <w:r w:rsidR="009D15AB" w:rsidRPr="0085005B">
        <w:rPr>
          <w:rFonts w:cs="Times New Roman"/>
        </w:rPr>
        <w:t>Tomamos contato com o</w:t>
      </w:r>
      <w:r w:rsidR="00ED48E3" w:rsidRPr="0085005B">
        <w:rPr>
          <w:rFonts w:cs="Times New Roman"/>
        </w:rPr>
        <w:t xml:space="preserve"> trabalho de </w:t>
      </w:r>
      <w:proofErr w:type="spellStart"/>
      <w:r w:rsidR="00ED48E3" w:rsidRPr="0085005B">
        <w:rPr>
          <w:rFonts w:cs="Times New Roman"/>
        </w:rPr>
        <w:t>Spanevello</w:t>
      </w:r>
      <w:proofErr w:type="spellEnd"/>
      <w:r w:rsidR="00ED48E3" w:rsidRPr="0085005B">
        <w:rPr>
          <w:rFonts w:cs="Times New Roman"/>
        </w:rPr>
        <w:t xml:space="preserve"> </w:t>
      </w:r>
      <w:r w:rsidR="009D15AB" w:rsidRPr="0085005B">
        <w:rPr>
          <w:rFonts w:cs="Times New Roman"/>
        </w:rPr>
        <w:t xml:space="preserve">no ano de 2010 e, através do mesmo, com </w:t>
      </w:r>
      <w:r w:rsidR="00ED48E3" w:rsidRPr="0085005B">
        <w:rPr>
          <w:rFonts w:cs="Times New Roman"/>
        </w:rPr>
        <w:t>a bibliografia disponível até então sobre a questão da sucessão na Agricultura Familiar</w:t>
      </w:r>
      <w:r w:rsidR="009D15AB" w:rsidRPr="0085005B">
        <w:rPr>
          <w:rFonts w:cs="Times New Roman"/>
        </w:rPr>
        <w:t xml:space="preserve">. Em seu doutorado, </w:t>
      </w:r>
      <w:proofErr w:type="spellStart"/>
      <w:r w:rsidR="009D15AB" w:rsidRPr="0085005B">
        <w:rPr>
          <w:rFonts w:cs="Times New Roman"/>
        </w:rPr>
        <w:t>Spanevello</w:t>
      </w:r>
      <w:proofErr w:type="spellEnd"/>
      <w:r w:rsidR="00ED48E3" w:rsidRPr="0085005B">
        <w:rPr>
          <w:rFonts w:cs="Times New Roman"/>
        </w:rPr>
        <w:t xml:space="preserve"> traz indicações importantes para </w:t>
      </w:r>
      <w:r w:rsidR="009D15AB" w:rsidRPr="0085005B">
        <w:rPr>
          <w:rFonts w:cs="Times New Roman"/>
        </w:rPr>
        <w:t>a compreensão</w:t>
      </w:r>
      <w:r w:rsidR="00ED48E3" w:rsidRPr="0085005B">
        <w:rPr>
          <w:rFonts w:cs="Times New Roman"/>
        </w:rPr>
        <w:t xml:space="preserve"> dos determinantes das diferenças inter-regionais </w:t>
      </w:r>
      <w:r w:rsidR="009D15AB" w:rsidRPr="0085005B">
        <w:rPr>
          <w:rFonts w:cs="Times New Roman"/>
        </w:rPr>
        <w:t>n</w:t>
      </w:r>
      <w:r w:rsidR="00ED48E3" w:rsidRPr="0085005B">
        <w:rPr>
          <w:rFonts w:cs="Times New Roman"/>
        </w:rPr>
        <w:t xml:space="preserve">a questão sucessória.  </w:t>
      </w:r>
    </w:p>
  </w:footnote>
  <w:footnote w:id="13">
    <w:p w14:paraId="25352ED8" w14:textId="20B57CEE" w:rsidR="00A62B04" w:rsidRPr="0085005B" w:rsidRDefault="00E4196A" w:rsidP="00C84140">
      <w:pPr>
        <w:spacing w:after="0" w:line="240" w:lineRule="auto"/>
        <w:rPr>
          <w:rFonts w:cs="Times New Roman"/>
          <w:b/>
          <w:sz w:val="20"/>
        </w:rPr>
      </w:pPr>
      <w:r w:rsidRPr="0085005B">
        <w:rPr>
          <w:rStyle w:val="Refdenotaderodap"/>
          <w:rFonts w:cs="Times New Roman"/>
          <w:sz w:val="20"/>
        </w:rPr>
        <w:footnoteRef/>
      </w:r>
      <w:r w:rsidRPr="0085005B">
        <w:rPr>
          <w:rFonts w:cs="Times New Roman"/>
          <w:sz w:val="20"/>
        </w:rPr>
        <w:t xml:space="preserve"> O texto em que estes pontos são apresentados de forma sistemática é o Anexo 2 deste relatório, intitulado</w:t>
      </w:r>
      <w:r w:rsidR="00A62B04" w:rsidRPr="0085005B">
        <w:rPr>
          <w:rFonts w:cs="Times New Roman"/>
          <w:sz w:val="20"/>
        </w:rPr>
        <w:t xml:space="preserve"> “Contribuição para uma política voltada à maximização da rentabilidade da Agricultura Familiar sujeito a disponibilidade relativa dos recursos e da divisão do trabalho.”</w:t>
      </w:r>
    </w:p>
    <w:p w14:paraId="4794428F" w14:textId="0452E386" w:rsidR="00E4196A" w:rsidRPr="0085005B" w:rsidRDefault="00E4196A" w:rsidP="00C84140">
      <w:pPr>
        <w:pStyle w:val="Textodenotaderodap"/>
        <w:rPr>
          <w:rFonts w:cs="Times New Roman"/>
        </w:rPr>
      </w:pPr>
    </w:p>
  </w:footnote>
  <w:footnote w:id="14">
    <w:p w14:paraId="2DDA4051" w14:textId="0B456AF4" w:rsidR="0007427A" w:rsidRPr="00671DB1" w:rsidRDefault="0007427A" w:rsidP="008F5B66">
      <w:pPr>
        <w:pStyle w:val="Corpodetexto"/>
        <w:spacing w:before="8" w:line="240" w:lineRule="auto"/>
        <w:rPr>
          <w:rFonts w:cs="Times New Roman"/>
          <w:b/>
          <w:bCs/>
          <w:sz w:val="56"/>
          <w:szCs w:val="56"/>
        </w:rPr>
      </w:pPr>
      <w:r w:rsidRPr="0085005B">
        <w:rPr>
          <w:rStyle w:val="Refdenotaderodap"/>
          <w:rFonts w:cs="Times New Roman"/>
          <w:sz w:val="20"/>
        </w:rPr>
        <w:footnoteRef/>
      </w:r>
      <w:r w:rsidRPr="0085005B">
        <w:rPr>
          <w:rFonts w:cs="Times New Roman"/>
          <w:sz w:val="20"/>
        </w:rPr>
        <w:t xml:space="preserve"> </w:t>
      </w:r>
      <w:r w:rsidRPr="008F5B66">
        <w:rPr>
          <w:rFonts w:cs="Times New Roman"/>
          <w:sz w:val="20"/>
        </w:rPr>
        <w:t xml:space="preserve">Estes problemas </w:t>
      </w:r>
      <w:r w:rsidR="00671DB1" w:rsidRPr="008F5B66">
        <w:rPr>
          <w:rFonts w:cs="Times New Roman"/>
          <w:sz w:val="20"/>
        </w:rPr>
        <w:t>é</w:t>
      </w:r>
      <w:r w:rsidRPr="008F5B66">
        <w:rPr>
          <w:rFonts w:cs="Times New Roman"/>
          <w:sz w:val="20"/>
        </w:rPr>
        <w:t xml:space="preserve"> objeto de atenção detalhada no Anexo </w:t>
      </w:r>
      <w:r w:rsidR="00671DB1" w:rsidRPr="008F5B66">
        <w:rPr>
          <w:rFonts w:cs="Times New Roman"/>
          <w:sz w:val="20"/>
        </w:rPr>
        <w:t>3</w:t>
      </w:r>
      <w:r w:rsidRPr="008F5B66">
        <w:rPr>
          <w:rFonts w:cs="Times New Roman"/>
          <w:sz w:val="20"/>
        </w:rPr>
        <w:t xml:space="preserve"> deste relatório, </w:t>
      </w:r>
      <w:r w:rsidR="00671DB1" w:rsidRPr="008F5B66">
        <w:rPr>
          <w:rFonts w:cs="Times New Roman"/>
          <w:sz w:val="20"/>
        </w:rPr>
        <w:t>intitulado “</w:t>
      </w:r>
      <w:r w:rsidR="00671DB1" w:rsidRPr="008F5B66">
        <w:rPr>
          <w:rFonts w:cs="Times New Roman"/>
          <w:bCs/>
          <w:spacing w:val="-4"/>
          <w:sz w:val="20"/>
        </w:rPr>
        <w:t xml:space="preserve">Rentabilidade </w:t>
      </w:r>
      <w:r w:rsidR="00671DB1" w:rsidRPr="008F5B66">
        <w:rPr>
          <w:rFonts w:cs="Times New Roman"/>
          <w:bCs/>
          <w:sz w:val="20"/>
        </w:rPr>
        <w:t xml:space="preserve">por unidade de área e potencial </w:t>
      </w:r>
      <w:r w:rsidR="00671DB1" w:rsidRPr="008F5B66">
        <w:rPr>
          <w:rFonts w:cs="Times New Roman"/>
          <w:bCs/>
          <w:spacing w:val="-8"/>
          <w:sz w:val="20"/>
        </w:rPr>
        <w:t xml:space="preserve">multiplicativo </w:t>
      </w:r>
      <w:r w:rsidR="00671DB1" w:rsidRPr="008F5B66">
        <w:rPr>
          <w:rFonts w:cs="Times New Roman"/>
          <w:bCs/>
          <w:sz w:val="20"/>
        </w:rPr>
        <w:t xml:space="preserve">das </w:t>
      </w:r>
      <w:r w:rsidR="00671DB1" w:rsidRPr="008F5B66">
        <w:rPr>
          <w:rFonts w:cs="Times New Roman"/>
          <w:bCs/>
          <w:spacing w:val="-4"/>
          <w:sz w:val="20"/>
        </w:rPr>
        <w:t xml:space="preserve">atividades </w:t>
      </w:r>
      <w:r w:rsidR="00671DB1" w:rsidRPr="008F5B66">
        <w:rPr>
          <w:rFonts w:cs="Times New Roman"/>
          <w:bCs/>
          <w:sz w:val="20"/>
        </w:rPr>
        <w:t xml:space="preserve">da agropecuária </w:t>
      </w:r>
      <w:r w:rsidR="00671DB1" w:rsidRPr="008F5B66">
        <w:rPr>
          <w:rFonts w:cs="Times New Roman"/>
          <w:bCs/>
          <w:spacing w:val="-5"/>
          <w:sz w:val="20"/>
        </w:rPr>
        <w:t xml:space="preserve">familiar </w:t>
      </w:r>
      <w:r w:rsidR="00671DB1" w:rsidRPr="008F5B66">
        <w:rPr>
          <w:rFonts w:cs="Times New Roman"/>
          <w:bCs/>
          <w:sz w:val="20"/>
        </w:rPr>
        <w:t>na região sul do brasil entre 1996 e 2006”</w:t>
      </w:r>
      <w:r w:rsidR="008F5B66">
        <w:rPr>
          <w:rFonts w:cs="Times New Roman"/>
          <w:bCs/>
          <w:sz w:val="20"/>
        </w:rPr>
        <w:t xml:space="preserve">. Em sua versão original, o Anexo 3 era o conjunto de lâminas de </w:t>
      </w:r>
      <w:proofErr w:type="spellStart"/>
      <w:r w:rsidR="008F5B66">
        <w:rPr>
          <w:rFonts w:cs="Times New Roman"/>
          <w:bCs/>
          <w:sz w:val="20"/>
        </w:rPr>
        <w:t>power-point</w:t>
      </w:r>
      <w:proofErr w:type="spellEnd"/>
      <w:r w:rsidR="008F5B66">
        <w:rPr>
          <w:rFonts w:cs="Times New Roman"/>
          <w:bCs/>
          <w:sz w:val="20"/>
        </w:rPr>
        <w:t xml:space="preserve"> d</w:t>
      </w:r>
      <w:r w:rsidRPr="008F5B66">
        <w:rPr>
          <w:rFonts w:cs="Times New Roman"/>
          <w:sz w:val="20"/>
        </w:rPr>
        <w:t xml:space="preserve">a apresentação que fizemos em Brasília </w:t>
      </w:r>
      <w:r w:rsidR="008F5B66">
        <w:rPr>
          <w:rFonts w:cs="Times New Roman"/>
          <w:sz w:val="20"/>
        </w:rPr>
        <w:t xml:space="preserve">do andamento da pesquisa em agosto de </w:t>
      </w:r>
      <w:r w:rsidRPr="008F5B66">
        <w:rPr>
          <w:rFonts w:cs="Times New Roman"/>
          <w:sz w:val="20"/>
        </w:rPr>
        <w:t>2</w:t>
      </w:r>
      <w:r w:rsidR="008F5B66">
        <w:rPr>
          <w:rFonts w:cs="Times New Roman"/>
          <w:sz w:val="20"/>
        </w:rPr>
        <w:t xml:space="preserve">011. </w:t>
      </w:r>
    </w:p>
  </w:footnote>
  <w:footnote w:id="15">
    <w:p w14:paraId="3DA6E2EF" w14:textId="719AA36A" w:rsidR="00A86786" w:rsidRDefault="00A86786">
      <w:pPr>
        <w:pStyle w:val="Textodenotaderodap"/>
      </w:pPr>
      <w:r>
        <w:rPr>
          <w:rStyle w:val="Refdenotaderodap"/>
        </w:rPr>
        <w:footnoteRef/>
      </w:r>
      <w:r>
        <w:t xml:space="preserve"> Todas estas questões são tratadas com detalhes no Anexo 2 deste Relatório.</w:t>
      </w:r>
    </w:p>
  </w:footnote>
  <w:footnote w:id="16">
    <w:p w14:paraId="1A846D7B" w14:textId="6857B2B5" w:rsidR="00F52A70" w:rsidRDefault="00F52A70">
      <w:pPr>
        <w:pStyle w:val="Textodenotaderodap"/>
      </w:pPr>
      <w:r>
        <w:rPr>
          <w:rStyle w:val="Refdenotaderodap"/>
        </w:rPr>
        <w:footnoteRef/>
      </w:r>
      <w:r>
        <w:t xml:space="preserve"> O VAB é a diferença entre o VBP total e o Consumo Intermediário. A princípio, o VBP deve ser maior do que o VAB. No caso da Agropecuária, </w:t>
      </w:r>
      <w:r w:rsidR="00712356">
        <w:t xml:space="preserve">o VBP corresponde, em média, a 1,4 vezes o VAB. Não obstante, como o VBP calculado pelo Censo tem por base a </w:t>
      </w:r>
      <w:r w:rsidR="00712356" w:rsidRPr="00712356">
        <w:rPr>
          <w:b/>
          <w:bCs/>
        </w:rPr>
        <w:t>declaração</w:t>
      </w:r>
      <w:r w:rsidR="00712356">
        <w:t xml:space="preserve"> dos administradores dos estabelecimentos e o VAB é calculado a partir de informações </w:t>
      </w:r>
      <w:r w:rsidR="00712356" w:rsidRPr="00712356">
        <w:rPr>
          <w:b/>
          <w:bCs/>
        </w:rPr>
        <w:t>fiscais</w:t>
      </w:r>
      <w:r w:rsidR="00712356">
        <w:t>, a relação entre as duas variáveis não corresponde àquela que seria de se esperar do ponto de vista teórico. A subestimação do VBP é crônica nestes casos. Entendemos que ela era “tolerável” até um patamar mínimo de um terço do VAB.</w:t>
      </w:r>
      <w:r w:rsidR="00287F87">
        <w:t xml:space="preserve"> Este critério levou à exclusão de 376 municípios da amostra</w:t>
      </w:r>
      <w:r w:rsidR="00712356">
        <w:t>.</w:t>
      </w:r>
    </w:p>
  </w:footnote>
  <w:footnote w:id="17">
    <w:p w14:paraId="514B7242" w14:textId="2D18D7E9" w:rsidR="00572BC1" w:rsidRPr="00A3223E" w:rsidRDefault="00572BC1" w:rsidP="00572BC1">
      <w:pPr>
        <w:pStyle w:val="Textodenotaderodap"/>
        <w:rPr>
          <w:rFonts w:cs="Times New Roman"/>
          <w:sz w:val="18"/>
          <w:szCs w:val="18"/>
        </w:rPr>
      </w:pPr>
      <w:r>
        <w:rPr>
          <w:rStyle w:val="Caracteresdenotaderodap"/>
        </w:rPr>
        <w:footnoteRef/>
      </w:r>
      <w:r>
        <w:rPr>
          <w:rFonts w:ascii="Arial" w:hAnsi="Arial"/>
          <w:sz w:val="18"/>
          <w:szCs w:val="18"/>
        </w:rPr>
        <w:t xml:space="preserve"> </w:t>
      </w:r>
      <w:r w:rsidRPr="00A3223E">
        <w:rPr>
          <w:rFonts w:cs="Times New Roman"/>
          <w:sz w:val="18"/>
          <w:szCs w:val="18"/>
        </w:rPr>
        <w:t>Não</w:t>
      </w:r>
      <w:r>
        <w:rPr>
          <w:rFonts w:ascii="Arial" w:hAnsi="Arial"/>
          <w:sz w:val="18"/>
          <w:szCs w:val="18"/>
        </w:rPr>
        <w:t xml:space="preserve"> </w:t>
      </w:r>
      <w:r w:rsidRPr="00A3223E">
        <w:rPr>
          <w:rFonts w:cs="Times New Roman"/>
          <w:sz w:val="18"/>
          <w:szCs w:val="18"/>
        </w:rPr>
        <w:t xml:space="preserve">gratuitamente, essas culturas estiveram associadas à produção escravista e ao tráfico negreiro ao longo dos séculos XVI, XVII, XVIII e XIX. </w:t>
      </w:r>
    </w:p>
  </w:footnote>
  <w:footnote w:id="18">
    <w:p w14:paraId="1D057E30" w14:textId="4814012A" w:rsidR="009B392D" w:rsidRDefault="009B392D">
      <w:pPr>
        <w:pStyle w:val="Textodenotaderodap"/>
      </w:pPr>
      <w:r w:rsidRPr="00A3223E">
        <w:rPr>
          <w:rStyle w:val="Refdenotaderodap"/>
          <w:rFonts w:cs="Times New Roman"/>
        </w:rPr>
        <w:footnoteRef/>
      </w:r>
      <w:r w:rsidRPr="00A3223E">
        <w:rPr>
          <w:rFonts w:cs="Times New Roman"/>
        </w:rPr>
        <w:t xml:space="preserve"> Estas c</w:t>
      </w:r>
      <w:r>
        <w:t>onclusões encontram-se detalhadas nos Anexos 2 e 3 deste relatório.</w:t>
      </w:r>
    </w:p>
  </w:footnote>
  <w:footnote w:id="19">
    <w:p w14:paraId="2F386175" w14:textId="22294A4F" w:rsidR="008816CA" w:rsidRDefault="008816CA">
      <w:pPr>
        <w:pStyle w:val="Textodenotaderodap"/>
      </w:pPr>
      <w:r>
        <w:rPr>
          <w:rStyle w:val="Refdenotaderodap"/>
        </w:rPr>
        <w:footnoteRef/>
      </w:r>
      <w:r>
        <w:t xml:space="preserve"> Tal como se poderá observar no Anexo 7, havíamos entendido, quando da suspensão do pagamento da Bolsa pelo CNPq e da exigência de ressarcimento durante os meses de vigência da Bolsa Cátedras, que, igualmente bem, havia cessado o compromisso de realização da pesquisa e que a mesma seria retomada ao fim do compromisso assumido pela Bolsa alternativa. Entendíamos o recebimento e a prestação de serviço como uma relação contratual de reciprocidade. Foi com grande surpresa que recebemos a notificação, já em 2013, de que o pagamento havia cessado há dois anos, mas as exigências de realização da pesquisa eram exatamente as mesmas de antes, sem qualquer alteração nos prazos de entrega dos relatórios finais. </w:t>
      </w:r>
    </w:p>
  </w:footnote>
  <w:footnote w:id="20">
    <w:p w14:paraId="59C424DC" w14:textId="600AA846" w:rsidR="00510D92" w:rsidRDefault="00510D92">
      <w:pPr>
        <w:pStyle w:val="Textodenotaderodap"/>
      </w:pPr>
      <w:r>
        <w:rPr>
          <w:rStyle w:val="Refdenotaderodap"/>
        </w:rPr>
        <w:footnoteRef/>
      </w:r>
      <w:r>
        <w:t xml:space="preserve"> Evidentemente, a soma das participações do </w:t>
      </w:r>
      <w:proofErr w:type="spellStart"/>
      <w:r>
        <w:t>VBPs</w:t>
      </w:r>
      <w:proofErr w:type="spellEnd"/>
      <w:r>
        <w:t xml:space="preserve"> agrícolas no VAB agropecuário não corresponde a 100%. O VBP supera o VAB pelo Consumo Intermediário. Além disso, o VAB inclui a produção pecuária. Mas a PPM </w:t>
      </w:r>
      <w:r w:rsidRPr="00510D92">
        <w:rPr>
          <w:b/>
          <w:bCs/>
        </w:rPr>
        <w:t>não</w:t>
      </w:r>
      <w:r>
        <w:rPr>
          <w:b/>
          <w:bCs/>
        </w:rPr>
        <w:t xml:space="preserve"> </w:t>
      </w:r>
      <w:r>
        <w:t xml:space="preserve">disponibiliza informações sobre o VBP da </w:t>
      </w:r>
      <w:r w:rsidRPr="00510D92">
        <w:rPr>
          <w:b/>
          <w:bCs/>
        </w:rPr>
        <w:t>Pecuária</w:t>
      </w:r>
      <w:r>
        <w:t>, uma vez que a rotação do gado bovino é superior a um ano (enquanto a rotação da avicultura de corte é pouco superior a um mês) e os preços de venda da animália varia significativamente ao longo do ano e de região para região. Isto significa dizer que, em municípios pecuaristas, o VAB da agropecuária pode ser muito superior ao VBP da agricultura (em sentido estrito)</w:t>
      </w:r>
      <w:r w:rsidR="00D273CD">
        <w:t>. E em municípios onde a pecuária é insignificante, o VBP das diversas produções agrícolas será maior do que o VAB total. Sem sombra de dúvida, estes fatores impõem vieses aos resultados e aos testes estatísticos. Mas, essa foi a melhor especificação de indicadores que conseguimos alcançar, dadas as limitações dos dados disponíveis.</w:t>
      </w:r>
    </w:p>
  </w:footnote>
  <w:footnote w:id="21">
    <w:p w14:paraId="1E32E0EC" w14:textId="6ADBE2F6" w:rsidR="00D273CD" w:rsidRDefault="00D273CD">
      <w:pPr>
        <w:pStyle w:val="Textodenotaderodap"/>
      </w:pPr>
      <w:r>
        <w:rPr>
          <w:rStyle w:val="Refdenotaderodap"/>
        </w:rPr>
        <w:footnoteRef/>
      </w:r>
      <w:r>
        <w:t xml:space="preserve"> Se a relação entre os </w:t>
      </w:r>
      <w:proofErr w:type="spellStart"/>
      <w:r>
        <w:t>VBPs</w:t>
      </w:r>
      <w:proofErr w:type="spellEnd"/>
      <w:r>
        <w:t xml:space="preserve"> dos distintos produtos e o VAB agropecuário </w:t>
      </w:r>
      <w:r w:rsidR="00FB2F07">
        <w:t xml:space="preserve">não chega a ser ideal, a razão entre cabeças e VAB é uma </w:t>
      </w:r>
      <w:r w:rsidR="00FB2F07" w:rsidRPr="00FB2F07">
        <w:rPr>
          <w:i/>
          <w:iCs/>
        </w:rPr>
        <w:t>proxy</w:t>
      </w:r>
      <w:r w:rsidR="00FB2F07">
        <w:t xml:space="preserve"> estatística ainda mais imperfeita. De qualquer forma, ela nos parece pertinente. Seu substrato encontra-se na hipótese de que </w:t>
      </w:r>
      <w:r w:rsidR="007A7C7C">
        <w:t xml:space="preserve">o valor agregado das distintas produções agropecuárias apresenta uma correlação elevada e significativa com a quantidade produzida. Isto é tão válido para a soja ou o café quanto para bovinos e aves. Além disso, </w:t>
      </w:r>
      <w:r w:rsidR="00FB2F07">
        <w:t>a produção agr</w:t>
      </w:r>
      <w:r w:rsidR="007A7C7C">
        <w:t>opecuária</w:t>
      </w:r>
      <w:r w:rsidR="00FB2F07">
        <w:t xml:space="preserve"> é altamente dependente do espaço. </w:t>
      </w:r>
      <w:r w:rsidR="007A7C7C">
        <w:t xml:space="preserve">Vale dizer: a </w:t>
      </w:r>
      <w:r w:rsidR="00FB2F07">
        <w:t>relação do VAB agropecuário com o tamanho do território</w:t>
      </w:r>
      <w:r w:rsidR="007A7C7C">
        <w:t xml:space="preserve"> (</w:t>
      </w:r>
      <w:r w:rsidR="00FB2F07">
        <w:t>e com a qualidade das terras</w:t>
      </w:r>
      <w:r w:rsidR="007A7C7C">
        <w:t>)</w:t>
      </w:r>
      <w:r w:rsidR="00FB2F07">
        <w:t xml:space="preserve"> é muito maior do que a relação do VAB industrial ou de serviços. </w:t>
      </w:r>
      <w:r w:rsidR="007A7C7C">
        <w:t xml:space="preserve">Assim sendo, se a relação entre o estoque de bovinos e o VAB agropecuário de um município é muito elevado, é razoável supor que a relação entre o estoque de qualquer animal e o VAB agropecuário seja um indicador de como o território rural está sendo ocupado e da expressão relativa das diversas atividades agrícolas para a geração deste mesmo VAB; </w:t>
      </w:r>
    </w:p>
  </w:footnote>
  <w:footnote w:id="22">
    <w:p w14:paraId="54A62381" w14:textId="0DA14D81" w:rsidR="00DB5D19" w:rsidRDefault="00DB5D19">
      <w:pPr>
        <w:pStyle w:val="Textodenotaderodap"/>
      </w:pPr>
      <w:r>
        <w:rPr>
          <w:rStyle w:val="Refdenotaderodap"/>
        </w:rPr>
        <w:footnoteRef/>
      </w:r>
      <w:r>
        <w:t xml:space="preserve"> A este respeito, veja-se </w:t>
      </w:r>
      <w:proofErr w:type="spellStart"/>
      <w:r>
        <w:t>Hirschman</w:t>
      </w:r>
      <w:proofErr w:type="spellEnd"/>
      <w:r>
        <w:t xml:space="preserve">, </w:t>
      </w:r>
      <w:r w:rsidR="00AC3AA3">
        <w:t>1958.</w:t>
      </w:r>
    </w:p>
  </w:footnote>
  <w:footnote w:id="23">
    <w:p w14:paraId="055E77A5" w14:textId="77777777" w:rsidR="00976AB4" w:rsidRDefault="00976AB4" w:rsidP="00976AB4">
      <w:pPr>
        <w:pStyle w:val="Textodenotaderodap"/>
      </w:pPr>
      <w:r>
        <w:rPr>
          <w:rStyle w:val="Refdenotaderodap"/>
        </w:rPr>
        <w:footnoteRef/>
      </w:r>
      <w:r>
        <w:t xml:space="preserve"> Adotamos esta notação, por conveniência: ela foi proposta por um dos auxiliares de pesquisa e acabou se consolidando. De qualquer forma, é importante deixar claro que a taxa de variação é medida pela diferença da razão do VBP de cada produto no VAB agrícola do período </w:t>
      </w:r>
      <w:r w:rsidRPr="00F0428C">
        <w:rPr>
          <w:b/>
          <w:bCs/>
        </w:rPr>
        <w:t>final</w:t>
      </w:r>
      <w:r>
        <w:t xml:space="preserve"> com o período </w:t>
      </w:r>
      <w:r w:rsidRPr="00F0428C">
        <w:rPr>
          <w:b/>
          <w:bCs/>
        </w:rPr>
        <w:t>inicial</w:t>
      </w:r>
      <w:r>
        <w:t>. A notação mais correta seria, portanto, VBPArroz</w:t>
      </w:r>
      <w:r w:rsidRPr="00F0428C">
        <w:rPr>
          <w:b/>
          <w:bCs/>
        </w:rPr>
        <w:t>2-1</w:t>
      </w:r>
    </w:p>
  </w:footnote>
  <w:footnote w:id="24">
    <w:p w14:paraId="1420B2C3" w14:textId="77777777" w:rsidR="00976AB4" w:rsidRDefault="00976AB4" w:rsidP="00976AB4">
      <w:pPr>
        <w:pStyle w:val="Textodenotaderodap"/>
      </w:pPr>
      <w:r>
        <w:rPr>
          <w:rStyle w:val="Refdenotaderodap"/>
        </w:rPr>
        <w:footnoteRef/>
      </w:r>
      <w:r>
        <w:t xml:space="preserve"> Tal como pode se observar no site do Instituto Rio-Grandense do Arroz (IRGA), o ano de 2010 é um ano de retomada dos preços, que vinham em rota decrescente. Diferentemente, 2000 é um ano de baixa histórica. </w:t>
      </w:r>
      <w:hyperlink r:id="rId1" w:history="1">
        <w:r w:rsidRPr="00DB7D99">
          <w:rPr>
            <w:rStyle w:val="Hyperlink"/>
          </w:rPr>
          <w:t>https://irga.rs.gov.br/upload/arquivos/201912/19135628-casca-out-2019.pdf</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rPr>
        <w:rFonts w:cs="Times New Roman"/>
        <w:sz w:val="28"/>
        <w:szCs w:val="28"/>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069" w:hanging="360"/>
      </w:pPr>
      <w:rPr>
        <w:rFonts w:cs="Times New Roman"/>
      </w:r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720" w:hanging="360"/>
      </w:pPr>
    </w:lvl>
  </w:abstractNum>
  <w:abstractNum w:abstractNumId="4" w15:restartNumberingAfterBreak="0">
    <w:nsid w:val="0BF14599"/>
    <w:multiLevelType w:val="hybridMultilevel"/>
    <w:tmpl w:val="2F8EBBA6"/>
    <w:lvl w:ilvl="0" w:tplc="80E691F6">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5" w15:restartNumberingAfterBreak="0">
    <w:nsid w:val="31E01D3D"/>
    <w:multiLevelType w:val="hybridMultilevel"/>
    <w:tmpl w:val="AF4EE262"/>
    <w:lvl w:ilvl="0" w:tplc="442CC750">
      <w:numFmt w:val="bullet"/>
      <w:lvlText w:val="•"/>
      <w:lvlJc w:val="left"/>
      <w:pPr>
        <w:ind w:left="1004" w:hanging="540"/>
      </w:pPr>
      <w:rPr>
        <w:rFonts w:hint="default"/>
        <w:w w:val="100"/>
        <w:lang w:val="pt-PT" w:eastAsia="en-US" w:bidi="ar-SA"/>
      </w:rPr>
    </w:lvl>
    <w:lvl w:ilvl="1" w:tplc="FF422994">
      <w:numFmt w:val="bullet"/>
      <w:lvlText w:val="•"/>
      <w:lvlJc w:val="left"/>
      <w:pPr>
        <w:ind w:left="2240" w:hanging="540"/>
      </w:pPr>
      <w:rPr>
        <w:rFonts w:hint="default"/>
        <w:lang w:val="pt-PT" w:eastAsia="en-US" w:bidi="ar-SA"/>
      </w:rPr>
    </w:lvl>
    <w:lvl w:ilvl="2" w:tplc="583ED068">
      <w:numFmt w:val="bullet"/>
      <w:lvlText w:val="•"/>
      <w:lvlJc w:val="left"/>
      <w:pPr>
        <w:ind w:left="3480" w:hanging="540"/>
      </w:pPr>
      <w:rPr>
        <w:rFonts w:hint="default"/>
        <w:lang w:val="pt-PT" w:eastAsia="en-US" w:bidi="ar-SA"/>
      </w:rPr>
    </w:lvl>
    <w:lvl w:ilvl="3" w:tplc="9F564A96">
      <w:numFmt w:val="bullet"/>
      <w:lvlText w:val="•"/>
      <w:lvlJc w:val="left"/>
      <w:pPr>
        <w:ind w:left="4720" w:hanging="540"/>
      </w:pPr>
      <w:rPr>
        <w:rFonts w:hint="default"/>
        <w:lang w:val="pt-PT" w:eastAsia="en-US" w:bidi="ar-SA"/>
      </w:rPr>
    </w:lvl>
    <w:lvl w:ilvl="4" w:tplc="C3A2BCA4">
      <w:numFmt w:val="bullet"/>
      <w:lvlText w:val="•"/>
      <w:lvlJc w:val="left"/>
      <w:pPr>
        <w:ind w:left="5960" w:hanging="540"/>
      </w:pPr>
      <w:rPr>
        <w:rFonts w:hint="default"/>
        <w:lang w:val="pt-PT" w:eastAsia="en-US" w:bidi="ar-SA"/>
      </w:rPr>
    </w:lvl>
    <w:lvl w:ilvl="5" w:tplc="96F4B73C">
      <w:numFmt w:val="bullet"/>
      <w:lvlText w:val="•"/>
      <w:lvlJc w:val="left"/>
      <w:pPr>
        <w:ind w:left="7200" w:hanging="540"/>
      </w:pPr>
      <w:rPr>
        <w:rFonts w:hint="default"/>
        <w:lang w:val="pt-PT" w:eastAsia="en-US" w:bidi="ar-SA"/>
      </w:rPr>
    </w:lvl>
    <w:lvl w:ilvl="6" w:tplc="0E3C8D8C">
      <w:numFmt w:val="bullet"/>
      <w:lvlText w:val="•"/>
      <w:lvlJc w:val="left"/>
      <w:pPr>
        <w:ind w:left="8440" w:hanging="540"/>
      </w:pPr>
      <w:rPr>
        <w:rFonts w:hint="default"/>
        <w:lang w:val="pt-PT" w:eastAsia="en-US" w:bidi="ar-SA"/>
      </w:rPr>
    </w:lvl>
    <w:lvl w:ilvl="7" w:tplc="A50A1AFC">
      <w:numFmt w:val="bullet"/>
      <w:lvlText w:val="•"/>
      <w:lvlJc w:val="left"/>
      <w:pPr>
        <w:ind w:left="9680" w:hanging="540"/>
      </w:pPr>
      <w:rPr>
        <w:rFonts w:hint="default"/>
        <w:lang w:val="pt-PT" w:eastAsia="en-US" w:bidi="ar-SA"/>
      </w:rPr>
    </w:lvl>
    <w:lvl w:ilvl="8" w:tplc="A6CEA3E4">
      <w:numFmt w:val="bullet"/>
      <w:lvlText w:val="•"/>
      <w:lvlJc w:val="left"/>
      <w:pPr>
        <w:ind w:left="10920" w:hanging="540"/>
      </w:pPr>
      <w:rPr>
        <w:rFonts w:hint="default"/>
        <w:lang w:val="pt-PT" w:eastAsia="en-US" w:bidi="ar-SA"/>
      </w:rPr>
    </w:lvl>
  </w:abstractNum>
  <w:abstractNum w:abstractNumId="6" w15:restartNumberingAfterBreak="0">
    <w:nsid w:val="362C6AF7"/>
    <w:multiLevelType w:val="hybridMultilevel"/>
    <w:tmpl w:val="2F8EBBA6"/>
    <w:lvl w:ilvl="0" w:tplc="80E691F6">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7" w15:restartNumberingAfterBreak="0">
    <w:nsid w:val="7BD206AF"/>
    <w:multiLevelType w:val="hybridMultilevel"/>
    <w:tmpl w:val="2F788248"/>
    <w:lvl w:ilvl="0" w:tplc="41467CDA">
      <w:start w:val="1"/>
      <w:numFmt w:val="decimal"/>
      <w:pStyle w:val="Ttulo1"/>
      <w:lvlText w:val="%1)"/>
      <w:lvlJc w:val="left"/>
      <w:pPr>
        <w:ind w:left="1068" w:hanging="360"/>
      </w:pPr>
      <w:rPr>
        <w:rFonts w:hint="default"/>
      </w:rPr>
    </w:lvl>
    <w:lvl w:ilvl="1" w:tplc="04160019">
      <w:start w:val="1"/>
      <w:numFmt w:val="lowerLetter"/>
      <w:pStyle w:val="Ttulo2"/>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7"/>
  </w:num>
  <w:num w:numId="2">
    <w:abstractNumId w:val="0"/>
  </w:num>
  <w:num w:numId="3">
    <w:abstractNumId w:val="1"/>
  </w:num>
  <w:num w:numId="4">
    <w:abstractNumId w:val="2"/>
  </w:num>
  <w:num w:numId="5">
    <w:abstractNumId w:val="3"/>
  </w:num>
  <w:num w:numId="6">
    <w:abstractNumId w:val="5"/>
  </w:num>
  <w:num w:numId="7">
    <w:abstractNumId w:val="4"/>
  </w:num>
  <w:num w:numId="8">
    <w:abstractNumId w:val="6"/>
  </w:num>
  <w:num w:numId="9">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3C5"/>
    <w:rsid w:val="00012DD2"/>
    <w:rsid w:val="0001442D"/>
    <w:rsid w:val="000153F0"/>
    <w:rsid w:val="000209BE"/>
    <w:rsid w:val="000216B3"/>
    <w:rsid w:val="00026563"/>
    <w:rsid w:val="0007427A"/>
    <w:rsid w:val="000B2FBB"/>
    <w:rsid w:val="000D366C"/>
    <w:rsid w:val="000D5973"/>
    <w:rsid w:val="000E48C9"/>
    <w:rsid w:val="00112E7E"/>
    <w:rsid w:val="00184542"/>
    <w:rsid w:val="0019183A"/>
    <w:rsid w:val="001D3C2A"/>
    <w:rsid w:val="001E7E48"/>
    <w:rsid w:val="00201342"/>
    <w:rsid w:val="002375E6"/>
    <w:rsid w:val="00243A71"/>
    <w:rsid w:val="00253BCA"/>
    <w:rsid w:val="00264091"/>
    <w:rsid w:val="002806F6"/>
    <w:rsid w:val="00287F87"/>
    <w:rsid w:val="002C780B"/>
    <w:rsid w:val="003011A6"/>
    <w:rsid w:val="0034140C"/>
    <w:rsid w:val="00380B01"/>
    <w:rsid w:val="00393F70"/>
    <w:rsid w:val="0039632F"/>
    <w:rsid w:val="003970DC"/>
    <w:rsid w:val="003A2995"/>
    <w:rsid w:val="003D5D72"/>
    <w:rsid w:val="003D5FC3"/>
    <w:rsid w:val="00420D03"/>
    <w:rsid w:val="004808BA"/>
    <w:rsid w:val="004839F2"/>
    <w:rsid w:val="004A7A55"/>
    <w:rsid w:val="004B17B1"/>
    <w:rsid w:val="004C0E6E"/>
    <w:rsid w:val="004C1C85"/>
    <w:rsid w:val="00510D92"/>
    <w:rsid w:val="00565C5C"/>
    <w:rsid w:val="00572BC1"/>
    <w:rsid w:val="0058730F"/>
    <w:rsid w:val="005920D2"/>
    <w:rsid w:val="00596DE8"/>
    <w:rsid w:val="005970C3"/>
    <w:rsid w:val="005D274D"/>
    <w:rsid w:val="005F23B9"/>
    <w:rsid w:val="00646E7E"/>
    <w:rsid w:val="00671DB1"/>
    <w:rsid w:val="00673EDB"/>
    <w:rsid w:val="00686294"/>
    <w:rsid w:val="00687C78"/>
    <w:rsid w:val="006A0B86"/>
    <w:rsid w:val="00705261"/>
    <w:rsid w:val="00712356"/>
    <w:rsid w:val="00770791"/>
    <w:rsid w:val="00776D42"/>
    <w:rsid w:val="007A7C7C"/>
    <w:rsid w:val="007C0152"/>
    <w:rsid w:val="007C26D6"/>
    <w:rsid w:val="007F2597"/>
    <w:rsid w:val="0085005B"/>
    <w:rsid w:val="00872480"/>
    <w:rsid w:val="008816CA"/>
    <w:rsid w:val="008863D5"/>
    <w:rsid w:val="008E7DC9"/>
    <w:rsid w:val="008F03C5"/>
    <w:rsid w:val="008F5B66"/>
    <w:rsid w:val="009036D7"/>
    <w:rsid w:val="00912BB9"/>
    <w:rsid w:val="009306E4"/>
    <w:rsid w:val="00932AEB"/>
    <w:rsid w:val="009346F9"/>
    <w:rsid w:val="00940480"/>
    <w:rsid w:val="00976AB4"/>
    <w:rsid w:val="009A7584"/>
    <w:rsid w:val="009B392D"/>
    <w:rsid w:val="009C1B83"/>
    <w:rsid w:val="009D15AB"/>
    <w:rsid w:val="00A26000"/>
    <w:rsid w:val="00A3027E"/>
    <w:rsid w:val="00A3223E"/>
    <w:rsid w:val="00A362A4"/>
    <w:rsid w:val="00A574D1"/>
    <w:rsid w:val="00A62B04"/>
    <w:rsid w:val="00A647D9"/>
    <w:rsid w:val="00A86786"/>
    <w:rsid w:val="00AC3AA3"/>
    <w:rsid w:val="00AC4587"/>
    <w:rsid w:val="00B1206A"/>
    <w:rsid w:val="00B462C5"/>
    <w:rsid w:val="00B61547"/>
    <w:rsid w:val="00B66A15"/>
    <w:rsid w:val="00B96B9B"/>
    <w:rsid w:val="00BA3E9B"/>
    <w:rsid w:val="00BD362A"/>
    <w:rsid w:val="00BF60AE"/>
    <w:rsid w:val="00C23076"/>
    <w:rsid w:val="00C3393F"/>
    <w:rsid w:val="00C54702"/>
    <w:rsid w:val="00C63A20"/>
    <w:rsid w:val="00C71746"/>
    <w:rsid w:val="00C71EE9"/>
    <w:rsid w:val="00C84140"/>
    <w:rsid w:val="00C872E1"/>
    <w:rsid w:val="00CB4044"/>
    <w:rsid w:val="00CD28D2"/>
    <w:rsid w:val="00CD33C8"/>
    <w:rsid w:val="00CE56E2"/>
    <w:rsid w:val="00D273CD"/>
    <w:rsid w:val="00D34CAC"/>
    <w:rsid w:val="00D359AC"/>
    <w:rsid w:val="00D37F47"/>
    <w:rsid w:val="00D625D9"/>
    <w:rsid w:val="00D71556"/>
    <w:rsid w:val="00DA07DA"/>
    <w:rsid w:val="00DB5D19"/>
    <w:rsid w:val="00DF0439"/>
    <w:rsid w:val="00E037FD"/>
    <w:rsid w:val="00E33E91"/>
    <w:rsid w:val="00E4196A"/>
    <w:rsid w:val="00E7189D"/>
    <w:rsid w:val="00EB354C"/>
    <w:rsid w:val="00EC0597"/>
    <w:rsid w:val="00ED1F97"/>
    <w:rsid w:val="00ED48E3"/>
    <w:rsid w:val="00EE07A9"/>
    <w:rsid w:val="00EE6D77"/>
    <w:rsid w:val="00EF656D"/>
    <w:rsid w:val="00F0428C"/>
    <w:rsid w:val="00F1709F"/>
    <w:rsid w:val="00F35839"/>
    <w:rsid w:val="00F52A70"/>
    <w:rsid w:val="00F55309"/>
    <w:rsid w:val="00F727C4"/>
    <w:rsid w:val="00FB2F07"/>
    <w:rsid w:val="00FE46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B38DB"/>
  <w15:chartTrackingRefBased/>
  <w15:docId w15:val="{CE1DB4C6-66E6-ED40-835E-EDE78A4E5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Corpo CS)"/>
        <w:lang w:val="pt-BR"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091"/>
    <w:pPr>
      <w:spacing w:after="120" w:line="360" w:lineRule="auto"/>
    </w:pPr>
    <w:rPr>
      <w:sz w:val="24"/>
    </w:rPr>
  </w:style>
  <w:style w:type="paragraph" w:styleId="Ttulo1">
    <w:name w:val="heading 1"/>
    <w:basedOn w:val="Normal"/>
    <w:next w:val="Normal"/>
    <w:link w:val="Ttulo1Char"/>
    <w:uiPriority w:val="9"/>
    <w:qFormat/>
    <w:rsid w:val="00F727C4"/>
    <w:pPr>
      <w:keepNext/>
      <w:keepLines/>
      <w:numPr>
        <w:numId w:val="1"/>
      </w:numPr>
      <w:suppressAutoHyphens/>
      <w:spacing w:after="0" w:line="240" w:lineRule="auto"/>
      <w:ind w:left="0" w:firstLine="0"/>
      <w:jc w:val="center"/>
      <w:outlineLvl w:val="0"/>
    </w:pPr>
    <w:rPr>
      <w:rFonts w:eastAsia="MS Mincho" w:cs="Times New Roman"/>
      <w:b/>
      <w:bCs/>
      <w:sz w:val="32"/>
      <w:szCs w:val="28"/>
      <w:lang w:val="en-US" w:eastAsia="ar-SA"/>
    </w:rPr>
  </w:style>
  <w:style w:type="paragraph" w:styleId="Ttulo2">
    <w:name w:val="heading 2"/>
    <w:basedOn w:val="Normal"/>
    <w:next w:val="Normal"/>
    <w:link w:val="Ttulo2Char"/>
    <w:uiPriority w:val="9"/>
    <w:qFormat/>
    <w:rsid w:val="00F727C4"/>
    <w:pPr>
      <w:numPr>
        <w:ilvl w:val="1"/>
        <w:numId w:val="1"/>
      </w:numPr>
      <w:suppressAutoHyphens/>
      <w:spacing w:before="200" w:after="0" w:line="240" w:lineRule="auto"/>
      <w:ind w:left="1021" w:right="284" w:firstLine="0"/>
      <w:outlineLvl w:val="1"/>
    </w:pPr>
    <w:rPr>
      <w:rFonts w:eastAsia="MS Mincho" w:cs="Times New Roman"/>
      <w:bCs/>
      <w:sz w:val="22"/>
      <w:szCs w:val="26"/>
      <w:lang w:val="en-US"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2">
    <w:name w:val="Body Text Indent 2"/>
    <w:basedOn w:val="Normal"/>
    <w:link w:val="Recuodecorpodetexto2Char"/>
    <w:rsid w:val="004C0E6E"/>
    <w:pPr>
      <w:spacing w:after="0" w:line="240" w:lineRule="auto"/>
      <w:ind w:left="720"/>
      <w:jc w:val="left"/>
    </w:pPr>
    <w:rPr>
      <w:rFonts w:eastAsia="Times New Roman" w:cs="Times New Roman"/>
      <w:sz w:val="20"/>
      <w:lang w:val="en-US" w:eastAsia="fr-FR"/>
    </w:rPr>
  </w:style>
  <w:style w:type="character" w:customStyle="1" w:styleId="Recuodecorpodetexto2Char">
    <w:name w:val="Recuo de corpo de texto 2 Char"/>
    <w:basedOn w:val="Fontepargpadro"/>
    <w:link w:val="Recuodecorpodetexto2"/>
    <w:rsid w:val="004C0E6E"/>
    <w:rPr>
      <w:rFonts w:eastAsia="Times New Roman" w:cs="Times New Roman"/>
      <w:lang w:val="en-US" w:eastAsia="fr-FR"/>
    </w:rPr>
  </w:style>
  <w:style w:type="character" w:styleId="Hyperlink">
    <w:name w:val="Hyperlink"/>
    <w:rsid w:val="00380B01"/>
    <w:rPr>
      <w:color w:val="0000FF"/>
      <w:u w:val="single"/>
    </w:rPr>
  </w:style>
  <w:style w:type="paragraph" w:styleId="PargrafodaLista">
    <w:name w:val="List Paragraph"/>
    <w:basedOn w:val="Normal"/>
    <w:uiPriority w:val="1"/>
    <w:qFormat/>
    <w:rsid w:val="00380B01"/>
    <w:pPr>
      <w:spacing w:after="0"/>
      <w:ind w:left="720" w:right="57"/>
      <w:contextualSpacing/>
    </w:pPr>
    <w:rPr>
      <w:rFonts w:eastAsia="Calibri" w:cs="Times New Roman"/>
      <w:szCs w:val="24"/>
    </w:rPr>
  </w:style>
  <w:style w:type="paragraph" w:styleId="Textodenotaderodap">
    <w:name w:val="footnote text"/>
    <w:basedOn w:val="Normal"/>
    <w:link w:val="TextodenotaderodapChar"/>
    <w:unhideWhenUsed/>
    <w:rsid w:val="00D34CAC"/>
    <w:pPr>
      <w:spacing w:after="0" w:line="240" w:lineRule="auto"/>
    </w:pPr>
    <w:rPr>
      <w:sz w:val="20"/>
    </w:rPr>
  </w:style>
  <w:style w:type="character" w:customStyle="1" w:styleId="TextodenotaderodapChar">
    <w:name w:val="Texto de nota de rodapé Char"/>
    <w:basedOn w:val="Fontepargpadro"/>
    <w:link w:val="Textodenotaderodap"/>
    <w:rsid w:val="00D34CAC"/>
  </w:style>
  <w:style w:type="character" w:styleId="Refdenotaderodap">
    <w:name w:val="footnote reference"/>
    <w:basedOn w:val="Fontepargpadro"/>
    <w:unhideWhenUsed/>
    <w:rsid w:val="00D34CAC"/>
    <w:rPr>
      <w:vertAlign w:val="superscript"/>
    </w:rPr>
  </w:style>
  <w:style w:type="character" w:styleId="MenoPendente">
    <w:name w:val="Unresolved Mention"/>
    <w:basedOn w:val="Fontepargpadro"/>
    <w:uiPriority w:val="99"/>
    <w:semiHidden/>
    <w:unhideWhenUsed/>
    <w:rsid w:val="000209BE"/>
    <w:rPr>
      <w:color w:val="605E5C"/>
      <w:shd w:val="clear" w:color="auto" w:fill="E1DFDD"/>
    </w:rPr>
  </w:style>
  <w:style w:type="paragraph" w:styleId="NormalWeb">
    <w:name w:val="Normal (Web)"/>
    <w:basedOn w:val="Normal"/>
    <w:uiPriority w:val="99"/>
    <w:unhideWhenUsed/>
    <w:rsid w:val="000153F0"/>
    <w:pPr>
      <w:spacing w:before="100" w:beforeAutospacing="1" w:after="100" w:afterAutospacing="1" w:line="240" w:lineRule="auto"/>
      <w:jc w:val="left"/>
    </w:pPr>
    <w:rPr>
      <w:rFonts w:eastAsia="Times New Roman" w:cs="Times New Roman"/>
      <w:szCs w:val="24"/>
      <w:lang w:eastAsia="pt-BR"/>
    </w:rPr>
  </w:style>
  <w:style w:type="paragraph" w:styleId="Corpodetexto">
    <w:name w:val="Body Text"/>
    <w:basedOn w:val="Normal"/>
    <w:link w:val="CorpodetextoChar"/>
    <w:uiPriority w:val="1"/>
    <w:unhideWhenUsed/>
    <w:qFormat/>
    <w:rsid w:val="00C3393F"/>
  </w:style>
  <w:style w:type="character" w:customStyle="1" w:styleId="CorpodetextoChar">
    <w:name w:val="Corpo de texto Char"/>
    <w:basedOn w:val="Fontepargpadro"/>
    <w:link w:val="Corpodetexto"/>
    <w:uiPriority w:val="99"/>
    <w:semiHidden/>
    <w:rsid w:val="00C3393F"/>
    <w:rPr>
      <w:sz w:val="24"/>
    </w:rPr>
  </w:style>
  <w:style w:type="character" w:customStyle="1" w:styleId="Ttulo1Char">
    <w:name w:val="Título 1 Char"/>
    <w:basedOn w:val="Fontepargpadro"/>
    <w:link w:val="Ttulo1"/>
    <w:rsid w:val="00F727C4"/>
    <w:rPr>
      <w:rFonts w:eastAsia="MS Mincho" w:cs="Times New Roman"/>
      <w:b/>
      <w:bCs/>
      <w:sz w:val="32"/>
      <w:szCs w:val="28"/>
      <w:lang w:val="en-US" w:eastAsia="ar-SA"/>
    </w:rPr>
  </w:style>
  <w:style w:type="character" w:customStyle="1" w:styleId="Ttulo2Char">
    <w:name w:val="Título 2 Char"/>
    <w:basedOn w:val="Fontepargpadro"/>
    <w:link w:val="Ttulo2"/>
    <w:rsid w:val="00F727C4"/>
    <w:rPr>
      <w:rFonts w:eastAsia="MS Mincho" w:cs="Times New Roman"/>
      <w:bCs/>
      <w:sz w:val="22"/>
      <w:szCs w:val="26"/>
      <w:lang w:val="en-US" w:eastAsia="ar-SA"/>
    </w:rPr>
  </w:style>
  <w:style w:type="character" w:customStyle="1" w:styleId="WW8Num2z0">
    <w:name w:val="WW8Num2z0"/>
    <w:rsid w:val="00F727C4"/>
    <w:rPr>
      <w:rFonts w:cs="Times New Roman"/>
      <w:sz w:val="28"/>
      <w:szCs w:val="28"/>
    </w:rPr>
  </w:style>
  <w:style w:type="character" w:customStyle="1" w:styleId="WW8Num3z0">
    <w:name w:val="WW8Num3z0"/>
    <w:rsid w:val="00F727C4"/>
    <w:rPr>
      <w:rFonts w:cs="Times New Roman"/>
    </w:rPr>
  </w:style>
  <w:style w:type="character" w:customStyle="1" w:styleId="Absatz-Standardschriftart">
    <w:name w:val="Absatz-Standardschriftart"/>
    <w:rsid w:val="00F727C4"/>
  </w:style>
  <w:style w:type="character" w:customStyle="1" w:styleId="WW8Num1z0">
    <w:name w:val="WW8Num1z0"/>
    <w:rsid w:val="00F727C4"/>
    <w:rPr>
      <w:rFonts w:cs="Times New Roman"/>
    </w:rPr>
  </w:style>
  <w:style w:type="character" w:customStyle="1" w:styleId="WW8Num2z1">
    <w:name w:val="WW8Num2z1"/>
    <w:rsid w:val="00F727C4"/>
    <w:rPr>
      <w:rFonts w:cs="Times New Roman"/>
    </w:rPr>
  </w:style>
  <w:style w:type="character" w:customStyle="1" w:styleId="WW8Num5z0">
    <w:name w:val="WW8Num5z0"/>
    <w:rsid w:val="00F727C4"/>
    <w:rPr>
      <w:rFonts w:cs="Times New Roman"/>
    </w:rPr>
  </w:style>
  <w:style w:type="character" w:customStyle="1" w:styleId="Fontepargpadro1">
    <w:name w:val="Fonte parág. padrão1"/>
    <w:rsid w:val="00F727C4"/>
  </w:style>
  <w:style w:type="character" w:customStyle="1" w:styleId="Caracteresdenotaderodap">
    <w:name w:val="Caracteres de nota de rodapé"/>
    <w:rsid w:val="00F727C4"/>
    <w:rPr>
      <w:rFonts w:cs="Times New Roman"/>
      <w:vertAlign w:val="superscript"/>
    </w:rPr>
  </w:style>
  <w:style w:type="character" w:customStyle="1" w:styleId="Caracteresdenotadefim">
    <w:name w:val="Caracteres de nota de fim"/>
    <w:rsid w:val="00F727C4"/>
    <w:rPr>
      <w:vertAlign w:val="superscript"/>
    </w:rPr>
  </w:style>
  <w:style w:type="character" w:customStyle="1" w:styleId="WW-Caracteresdenotadefim">
    <w:name w:val="WW-Caracteres de nota de fim"/>
    <w:rsid w:val="00F727C4"/>
  </w:style>
  <w:style w:type="character" w:styleId="HiperlinkVisitado">
    <w:name w:val="FollowedHyperlink"/>
    <w:rsid w:val="00F727C4"/>
    <w:rPr>
      <w:color w:val="800000"/>
      <w:u w:val="single"/>
    </w:rPr>
  </w:style>
  <w:style w:type="character" w:styleId="Refdenotadefim">
    <w:name w:val="endnote reference"/>
    <w:rsid w:val="00F727C4"/>
    <w:rPr>
      <w:vertAlign w:val="superscript"/>
    </w:rPr>
  </w:style>
  <w:style w:type="paragraph" w:customStyle="1" w:styleId="Ttulo10">
    <w:name w:val="Título1"/>
    <w:basedOn w:val="Normal"/>
    <w:next w:val="Corpodetexto"/>
    <w:rsid w:val="00F727C4"/>
    <w:pPr>
      <w:keepNext/>
      <w:suppressAutoHyphens/>
      <w:spacing w:before="240" w:line="240" w:lineRule="auto"/>
      <w:ind w:firstLine="709"/>
    </w:pPr>
    <w:rPr>
      <w:rFonts w:ascii="Arial" w:eastAsia="MS Mincho" w:hAnsi="Arial" w:cs="Tahoma"/>
      <w:sz w:val="28"/>
      <w:szCs w:val="28"/>
      <w:lang w:val="en-US" w:eastAsia="ar-SA"/>
    </w:rPr>
  </w:style>
  <w:style w:type="paragraph" w:styleId="Lista">
    <w:name w:val="List"/>
    <w:basedOn w:val="Corpodetexto"/>
    <w:rsid w:val="00F727C4"/>
    <w:pPr>
      <w:suppressAutoHyphens/>
      <w:spacing w:line="240" w:lineRule="auto"/>
      <w:ind w:firstLine="709"/>
    </w:pPr>
    <w:rPr>
      <w:rFonts w:eastAsia="MS Mincho" w:cs="Tahoma"/>
      <w:szCs w:val="22"/>
      <w:lang w:val="en-US" w:eastAsia="ar-SA"/>
    </w:rPr>
  </w:style>
  <w:style w:type="paragraph" w:customStyle="1" w:styleId="Legenda1">
    <w:name w:val="Legenda1"/>
    <w:basedOn w:val="Normal"/>
    <w:rsid w:val="00F727C4"/>
    <w:pPr>
      <w:suppressLineNumbers/>
      <w:suppressAutoHyphens/>
      <w:spacing w:before="120" w:line="240" w:lineRule="auto"/>
      <w:ind w:firstLine="709"/>
    </w:pPr>
    <w:rPr>
      <w:rFonts w:eastAsia="MS Mincho" w:cs="Tahoma"/>
      <w:i/>
      <w:iCs/>
      <w:szCs w:val="24"/>
      <w:lang w:val="en-US" w:eastAsia="ar-SA"/>
    </w:rPr>
  </w:style>
  <w:style w:type="paragraph" w:customStyle="1" w:styleId="ndice">
    <w:name w:val="Índice"/>
    <w:basedOn w:val="Normal"/>
    <w:rsid w:val="00F727C4"/>
    <w:pPr>
      <w:suppressLineNumbers/>
      <w:suppressAutoHyphens/>
      <w:spacing w:line="240" w:lineRule="auto"/>
      <w:ind w:firstLine="709"/>
    </w:pPr>
    <w:rPr>
      <w:rFonts w:eastAsia="MS Mincho" w:cs="Tahoma"/>
      <w:szCs w:val="22"/>
      <w:lang w:val="en-US" w:eastAsia="ar-SA"/>
    </w:rPr>
  </w:style>
  <w:style w:type="paragraph" w:styleId="SemEspaamento">
    <w:name w:val="No Spacing"/>
    <w:basedOn w:val="Normal"/>
    <w:qFormat/>
    <w:rsid w:val="00F727C4"/>
    <w:pPr>
      <w:suppressAutoHyphens/>
      <w:spacing w:after="0" w:line="240" w:lineRule="auto"/>
    </w:pPr>
    <w:rPr>
      <w:rFonts w:eastAsia="MS Mincho" w:cs="Times New Roman"/>
      <w:sz w:val="20"/>
      <w:szCs w:val="22"/>
      <w:lang w:eastAsia="ar-SA"/>
    </w:rPr>
  </w:style>
  <w:style w:type="paragraph" w:customStyle="1" w:styleId="PargrafodaLista1">
    <w:name w:val="Parágrafo da Lista1"/>
    <w:basedOn w:val="Normal"/>
    <w:rsid w:val="00F727C4"/>
    <w:pPr>
      <w:suppressAutoHyphens/>
      <w:spacing w:after="0"/>
      <w:ind w:left="720" w:right="57"/>
    </w:pPr>
    <w:rPr>
      <w:rFonts w:eastAsia="Calibri" w:cs="Times New Roman"/>
      <w:szCs w:val="24"/>
      <w:lang w:eastAsia="ar-SA"/>
    </w:rPr>
  </w:style>
  <w:style w:type="character" w:customStyle="1" w:styleId="apple-style-span">
    <w:name w:val="apple-style-span"/>
    <w:basedOn w:val="Fontepargpadro1"/>
    <w:rsid w:val="0085005B"/>
  </w:style>
  <w:style w:type="character" w:customStyle="1" w:styleId="apple-converted-space">
    <w:name w:val="apple-converted-space"/>
    <w:basedOn w:val="Fontepargpadro1"/>
    <w:rsid w:val="0085005B"/>
  </w:style>
  <w:style w:type="paragraph" w:styleId="Cabealho">
    <w:name w:val="header"/>
    <w:basedOn w:val="Normal"/>
    <w:link w:val="CabealhoChar"/>
    <w:rsid w:val="0085005B"/>
    <w:pPr>
      <w:tabs>
        <w:tab w:val="center" w:pos="4419"/>
        <w:tab w:val="right" w:pos="8838"/>
      </w:tabs>
      <w:suppressAutoHyphens/>
      <w:spacing w:after="0" w:line="240" w:lineRule="auto"/>
      <w:jc w:val="left"/>
    </w:pPr>
    <w:rPr>
      <w:rFonts w:eastAsia="Times New Roman" w:cs="Times New Roman"/>
      <w:szCs w:val="24"/>
      <w:lang w:eastAsia="ar-SA"/>
    </w:rPr>
  </w:style>
  <w:style w:type="character" w:customStyle="1" w:styleId="CabealhoChar">
    <w:name w:val="Cabeçalho Char"/>
    <w:basedOn w:val="Fontepargpadro"/>
    <w:link w:val="Cabealho"/>
    <w:rsid w:val="0085005B"/>
    <w:rPr>
      <w:rFonts w:eastAsia="Times New Roman" w:cs="Times New Roman"/>
      <w:sz w:val="24"/>
      <w:szCs w:val="24"/>
      <w:lang w:eastAsia="ar-SA"/>
    </w:rPr>
  </w:style>
  <w:style w:type="paragraph" w:customStyle="1" w:styleId="Pargrafo">
    <w:name w:val="Parágrafo"/>
    <w:basedOn w:val="Normal"/>
    <w:rsid w:val="0085005B"/>
    <w:pPr>
      <w:suppressAutoHyphens/>
      <w:ind w:firstLine="1418"/>
    </w:pPr>
    <w:rPr>
      <w:rFonts w:ascii="Arial" w:eastAsia="Times New Roman" w:hAnsi="Arial" w:cs="Arial"/>
      <w:lang w:eastAsia="ar-SA"/>
    </w:rPr>
  </w:style>
  <w:style w:type="paragraph" w:styleId="Rodap">
    <w:name w:val="footer"/>
    <w:basedOn w:val="Normal"/>
    <w:link w:val="RodapChar"/>
    <w:uiPriority w:val="99"/>
    <w:unhideWhenUsed/>
    <w:rsid w:val="0085005B"/>
    <w:pPr>
      <w:tabs>
        <w:tab w:val="center" w:pos="4252"/>
        <w:tab w:val="right" w:pos="8504"/>
      </w:tabs>
      <w:spacing w:after="0" w:line="240" w:lineRule="auto"/>
    </w:pPr>
  </w:style>
  <w:style w:type="character" w:customStyle="1" w:styleId="RodapChar">
    <w:name w:val="Rodapé Char"/>
    <w:basedOn w:val="Fontepargpadro"/>
    <w:link w:val="Rodap"/>
    <w:uiPriority w:val="99"/>
    <w:rsid w:val="0085005B"/>
    <w:rPr>
      <w:sz w:val="24"/>
    </w:rPr>
  </w:style>
  <w:style w:type="table" w:customStyle="1" w:styleId="TableNormal">
    <w:name w:val="Table Normal"/>
    <w:uiPriority w:val="2"/>
    <w:semiHidden/>
    <w:unhideWhenUsed/>
    <w:qFormat/>
    <w:rsid w:val="008F5B66"/>
    <w:pPr>
      <w:widowControl w:val="0"/>
      <w:autoSpaceDE w:val="0"/>
      <w:autoSpaceDN w:val="0"/>
      <w:jc w:val="left"/>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F5B66"/>
    <w:pPr>
      <w:widowControl w:val="0"/>
      <w:autoSpaceDE w:val="0"/>
      <w:autoSpaceDN w:val="0"/>
      <w:spacing w:after="0" w:line="240" w:lineRule="auto"/>
      <w:jc w:val="right"/>
    </w:pPr>
    <w:rPr>
      <w:rFonts w:ascii="Arial" w:eastAsia="Arial" w:hAnsi="Arial" w:cs="Arial"/>
      <w:sz w:val="22"/>
      <w:szCs w:val="22"/>
      <w:lang w:val="pt-PT"/>
    </w:rPr>
  </w:style>
  <w:style w:type="paragraph" w:styleId="Legenda">
    <w:name w:val="caption"/>
    <w:basedOn w:val="Normal"/>
    <w:next w:val="Normal"/>
    <w:uiPriority w:val="35"/>
    <w:semiHidden/>
    <w:unhideWhenUsed/>
    <w:qFormat/>
    <w:rsid w:val="00976AB4"/>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426592">
      <w:bodyDiv w:val="1"/>
      <w:marLeft w:val="0"/>
      <w:marRight w:val="0"/>
      <w:marTop w:val="0"/>
      <w:marBottom w:val="0"/>
      <w:divBdr>
        <w:top w:val="none" w:sz="0" w:space="0" w:color="auto"/>
        <w:left w:val="none" w:sz="0" w:space="0" w:color="auto"/>
        <w:bottom w:val="none" w:sz="0" w:space="0" w:color="auto"/>
        <w:right w:val="none" w:sz="0" w:space="0" w:color="auto"/>
      </w:divBdr>
      <w:divsChild>
        <w:div w:id="406923507">
          <w:marLeft w:val="0"/>
          <w:marRight w:val="0"/>
          <w:marTop w:val="0"/>
          <w:marBottom w:val="0"/>
          <w:divBdr>
            <w:top w:val="none" w:sz="0" w:space="0" w:color="auto"/>
            <w:left w:val="none" w:sz="0" w:space="0" w:color="auto"/>
            <w:bottom w:val="none" w:sz="0" w:space="0" w:color="auto"/>
            <w:right w:val="none" w:sz="0" w:space="0" w:color="auto"/>
          </w:divBdr>
          <w:divsChild>
            <w:div w:id="701056239">
              <w:marLeft w:val="0"/>
              <w:marRight w:val="0"/>
              <w:marTop w:val="0"/>
              <w:marBottom w:val="0"/>
              <w:divBdr>
                <w:top w:val="none" w:sz="0" w:space="0" w:color="auto"/>
                <w:left w:val="none" w:sz="0" w:space="0" w:color="auto"/>
                <w:bottom w:val="none" w:sz="0" w:space="0" w:color="auto"/>
                <w:right w:val="none" w:sz="0" w:space="0" w:color="auto"/>
              </w:divBdr>
              <w:divsChild>
                <w:div w:id="248345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45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territoriopaiva.com/ctms/3/39/palestr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rritoriopaiva.com/ler/3/48/195/ipea_-_especializacao_produtiva_e_rentabilidade_da_agropecuaria_familia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ritoriopaiva.com/ctms/9/61/reportagens" TargetMode="External"/><Relationship Id="rId5" Type="http://schemas.openxmlformats.org/officeDocument/2006/relationships/webSettings" Target="webSettings.xml"/><Relationship Id="rId15" Type="http://schemas.openxmlformats.org/officeDocument/2006/relationships/hyperlink" Target="https://www.lume.ufrgs.br/handle/10183/16024" TargetMode="Externa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www.enaber.com.br/downloads/art_205.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irga.rs.gov.br/upload/arquivos/201912/19135628-casca-out-2019.pdf"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4C5FB-0B90-4823-BFF2-C60A0D15D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2728</TotalTime>
  <Pages>27</Pages>
  <Words>7457</Words>
  <Characters>40274</Characters>
  <Application>Microsoft Office Word</Application>
  <DocSecurity>0</DocSecurity>
  <Lines>335</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Allan Lemos</cp:lastModifiedBy>
  <cp:revision>21</cp:revision>
  <dcterms:created xsi:type="dcterms:W3CDTF">2021-07-06T16:26:00Z</dcterms:created>
  <dcterms:modified xsi:type="dcterms:W3CDTF">2021-07-09T16:44:00Z</dcterms:modified>
</cp:coreProperties>
</file>